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耘上数商黄姜（泥姜）2608分级分时专区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w:t>
            </w:r>
            <w:r>
              <w:rPr>
                <w:rFonts w:hint="eastAsia" w:ascii="仿宋" w:hAnsi="仿宋" w:eastAsia="仿宋" w:cs="仿宋"/>
                <w:color w:val="auto"/>
                <w:sz w:val="24"/>
                <w:szCs w:val="24"/>
              </w:rPr>
              <w:t>姜(泥姜)</w:t>
            </w:r>
            <w:r>
              <w:rPr>
                <w:rFonts w:hint="eastAsia" w:ascii="仿宋" w:hAnsi="仿宋" w:eastAsia="仿宋" w:cs="仿宋"/>
                <w:color w:val="auto"/>
                <w:sz w:val="24"/>
                <w:szCs w:val="24"/>
                <w:lang w:eastAsia="zh-CN"/>
              </w:rPr>
              <w:t>2608</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w:t>
            </w:r>
            <w:r>
              <w:rPr>
                <w:rFonts w:hint="eastAsia" w:ascii="仿宋" w:hAnsi="仿宋" w:eastAsia="仿宋" w:cs="仿宋"/>
                <w:color w:val="auto"/>
                <w:sz w:val="24"/>
                <w:szCs w:val="24"/>
              </w:rPr>
              <w:t>J</w:t>
            </w:r>
            <w:r>
              <w:rPr>
                <w:rFonts w:hint="eastAsia" w:ascii="仿宋" w:hAnsi="仿宋" w:eastAsia="仿宋" w:cs="仿宋"/>
                <w:color w:val="auto"/>
                <w:sz w:val="24"/>
                <w:szCs w:val="24"/>
                <w:lang w:eastAsia="zh-CN"/>
              </w:rPr>
              <w:t>2608</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1吨/</w:t>
            </w:r>
            <w:r>
              <w:rPr>
                <w:rFonts w:hint="eastAsia" w:ascii="仿宋" w:hAnsi="仿宋" w:eastAsia="仿宋" w:cs="仿宋"/>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1元/</w:t>
            </w:r>
            <w:r>
              <w:rPr>
                <w:rFonts w:hint="eastAsia" w:ascii="仿宋" w:hAnsi="仿宋" w:eastAsia="仿宋" w:cs="仿宋"/>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4000</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lang w:val="en-US" w:eastAsia="zh-CN"/>
              </w:rPr>
              <w:t>不含税、不含运费</w:t>
            </w:r>
            <w:r>
              <w:rPr>
                <w:rFonts w:hint="eastAsia" w:ascii="仿宋" w:hAnsi="仿宋" w:eastAsia="仿宋" w:cs="仿宋"/>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风险状况调整最大订货</w:t>
            </w:r>
            <w:r>
              <w:rPr>
                <w:rFonts w:hint="eastAsia" w:ascii="仿宋" w:hAnsi="仿宋" w:eastAsia="仿宋" w:cs="仿宋"/>
                <w:color w:val="auto"/>
                <w:sz w:val="24"/>
                <w:szCs w:val="24"/>
                <w:lang w:val="en-US" w:eastAsia="zh-CN"/>
              </w:rPr>
              <w:t>总</w:t>
            </w:r>
            <w:r>
              <w:rPr>
                <w:rFonts w:hint="eastAsia" w:ascii="仿宋" w:hAnsi="仿宋" w:eastAsia="仿宋" w:cs="仿宋"/>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1000</w:t>
            </w:r>
            <w:r>
              <w:rPr>
                <w:rFonts w:hint="eastAsia" w:ascii="仿宋" w:hAnsi="仿宋" w:eastAsia="仿宋" w:cs="仿宋"/>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上一</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风控评估价</w:t>
            </w:r>
            <w:r>
              <w:rPr>
                <w:rFonts w:hint="eastAsia" w:ascii="仿宋" w:hAnsi="仿宋" w:eastAsia="仿宋" w:cs="仿宋"/>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首日涨跌</w:t>
            </w:r>
            <w:r>
              <w:rPr>
                <w:rFonts w:hint="eastAsia" w:ascii="仿宋" w:hAnsi="仿宋" w:eastAsia="仿宋" w:cs="仿宋"/>
                <w:color w:val="auto"/>
                <w:sz w:val="24"/>
                <w:szCs w:val="24"/>
                <w:lang w:val="en-US" w:eastAsia="zh-CN"/>
              </w:rPr>
              <w:t>限</w:t>
            </w:r>
            <w:r>
              <w:rPr>
                <w:rFonts w:hint="eastAsia" w:ascii="仿宋" w:hAnsi="仿宋" w:eastAsia="仿宋" w:cs="仿宋"/>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w:t>
            </w:r>
            <w:r>
              <w:rPr>
                <w:rFonts w:hint="eastAsia" w:ascii="仿宋" w:hAnsi="仿宋" w:eastAsia="仿宋" w:cs="仿宋"/>
                <w:color w:val="auto"/>
                <w:sz w:val="24"/>
                <w:szCs w:val="24"/>
                <w:lang w:val="en-US" w:eastAsia="zh-CN"/>
              </w:rPr>
              <w:t>涨跌幅度</w:t>
            </w:r>
            <w:r>
              <w:rPr>
                <w:rFonts w:hint="eastAsia" w:ascii="仿宋" w:hAnsi="仿宋" w:eastAsia="仿宋" w:cs="仿宋"/>
                <w:color w:val="auto"/>
                <w:sz w:val="24"/>
                <w:szCs w:val="24"/>
              </w:rPr>
              <w:t>，</w:t>
            </w:r>
          </w:p>
          <w:p w14:paraId="633729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单账户最大订货量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单边5000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，双边10000</w:t>
            </w:r>
            <w:r>
              <w:rPr>
                <w:rFonts w:hint="eastAsia" w:ascii="仿宋" w:hAnsi="仿宋" w:eastAsia="仿宋" w:cs="仿宋"/>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风险状况调整单账户单边、双边最大订货量及单账户</w:t>
            </w:r>
            <w:r>
              <w:rPr>
                <w:rFonts w:hint="eastAsia" w:ascii="仿宋" w:hAnsi="仿宋" w:eastAsia="仿宋" w:cs="仿宋"/>
                <w:color w:val="auto"/>
                <w:sz w:val="24"/>
                <w:szCs w:val="24"/>
                <w:highlight w:val="none"/>
              </w:rPr>
              <w:t>单日最大新增订货量</w:t>
            </w:r>
            <w:r>
              <w:rPr>
                <w:rFonts w:hint="eastAsia" w:ascii="仿宋" w:hAnsi="仿宋" w:eastAsia="仿宋" w:cs="仿宋"/>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月份</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收获季</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年秋冬</w:t>
            </w:r>
            <w:r>
              <w:rPr>
                <w:rFonts w:hint="eastAsia" w:ascii="仿宋" w:hAnsi="仿宋" w:eastAsia="仿宋" w:cs="仿宋"/>
                <w:color w:val="auto"/>
                <w:sz w:val="24"/>
                <w:szCs w:val="24"/>
                <w:lang w:val="en-US" w:eastAsia="zh-CN"/>
              </w:rPr>
              <w:t>及2026年春</w:t>
            </w:r>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周一至周六：9:00-11:30</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月15日不能新订立存货，只能</w:t>
            </w:r>
            <w:r>
              <w:rPr>
                <w:rFonts w:hint="eastAsia" w:ascii="仿宋" w:hAnsi="仿宋" w:eastAsia="仿宋" w:cs="仿宋"/>
                <w:color w:val="auto"/>
                <w:sz w:val="24"/>
                <w:szCs w:val="24"/>
                <w:lang w:val="en-US" w:eastAsia="zh-CN"/>
              </w:rPr>
              <w:t>终止</w:t>
            </w:r>
            <w:r>
              <w:rPr>
                <w:rFonts w:hint="eastAsia" w:ascii="仿宋" w:hAnsi="仿宋" w:eastAsia="仿宋" w:cs="仿宋"/>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规定交收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指定</w:t>
            </w:r>
            <w:r>
              <w:rPr>
                <w:rFonts w:hint="eastAsia" w:ascii="仿宋" w:hAnsi="仿宋" w:eastAsia="仿宋" w:cs="仿宋"/>
                <w:color w:val="auto"/>
                <w:sz w:val="24"/>
                <w:szCs w:val="24"/>
                <w:lang w:val="en-US" w:eastAsia="zh-CN"/>
              </w:rPr>
              <w:t>监管认证</w:t>
            </w:r>
            <w:r>
              <w:rPr>
                <w:rFonts w:hint="eastAsia" w:ascii="仿宋" w:hAnsi="仿宋" w:eastAsia="仿宋" w:cs="仿宋"/>
                <w:color w:val="auto"/>
                <w:sz w:val="24"/>
                <w:szCs w:val="24"/>
              </w:rPr>
              <w:t>仓库(</w:t>
            </w:r>
            <w:r>
              <w:rPr>
                <w:rFonts w:hint="eastAsia" w:ascii="仿宋" w:hAnsi="仿宋" w:eastAsia="仿宋" w:cs="仿宋"/>
                <w:color w:val="auto"/>
                <w:sz w:val="24"/>
                <w:szCs w:val="24"/>
                <w:lang w:val="en-US" w:eastAsia="zh-CN"/>
              </w:rPr>
              <w:t>详见官网</w:t>
            </w:r>
            <w:r>
              <w:rPr>
                <w:rFonts w:hint="eastAsia" w:ascii="仿宋" w:hAnsi="仿宋" w:eastAsia="仿宋" w:cs="仿宋"/>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&lt;订货量&lt;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≤订货量≤</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保证金比例增加1</w:t>
            </w:r>
            <w:r>
              <w:rPr>
                <w:rFonts w:hint="eastAsia" w:ascii="仿宋" w:hAnsi="仿宋" w:eastAsia="仿宋" w:cs="仿宋"/>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耘上数商有权根据市场风险状况调整比例</w:t>
            </w:r>
            <w:r>
              <w:rPr>
                <w:rFonts w:hint="eastAsia" w:ascii="仿宋" w:hAnsi="仿宋" w:eastAsia="仿宋" w:cs="仿宋"/>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专区</w:t>
            </w:r>
            <w:r>
              <w:rPr>
                <w:rFonts w:hint="eastAsia" w:ascii="仿宋" w:hAnsi="仿宋" w:eastAsia="仿宋" w:cs="仿宋"/>
                <w:color w:val="auto"/>
                <w:sz w:val="24"/>
                <w:szCs w:val="24"/>
              </w:rPr>
              <w:t>上市后</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782BFF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月1日起提高至30%,</w:t>
            </w:r>
          </w:p>
          <w:p w14:paraId="29C708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月16日起提高至50%,</w:t>
            </w:r>
          </w:p>
          <w:p w14:paraId="52DB6C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耘上数商指定检验机构（详见官网）</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最后八个</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最小交收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量30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，最大交收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量5000</w:t>
            </w:r>
            <w:r>
              <w:rPr>
                <w:rFonts w:hint="eastAsia" w:ascii="仿宋" w:hAnsi="仿宋" w:eastAsia="仿宋" w:cs="仿宋"/>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方式</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提前交收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协议交收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p>
        </w:tc>
      </w:tr>
    </w:tbl>
    <w:p w14:paraId="74E01526">
      <w:pPr>
        <w:rPr>
          <w:rFonts w:hint="eastAsia" w:ascii="新宋体" w:hAnsi="新宋体" w:eastAsia="新宋体" w:cs="新宋体"/>
          <w:b/>
          <w:bCs/>
          <w:color w:val="auto"/>
          <w:sz w:val="24"/>
          <w:szCs w:val="24"/>
          <w:lang w:val="en-US" w:eastAsia="zh-CN"/>
        </w:rPr>
      </w:pPr>
    </w:p>
    <w:p w14:paraId="0F84A207">
      <w:pPr>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both"/>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交收的</w:t>
      </w:r>
      <w:r>
        <w:rPr>
          <w:rStyle w:val="8"/>
          <w:rFonts w:hint="eastAsia"/>
          <w:color w:val="auto"/>
          <w:lang w:val="en-US" w:eastAsia="zh-CN"/>
        </w:rPr>
        <w:t>黄</w:t>
      </w:r>
      <w:r>
        <w:rPr>
          <w:rStyle w:val="8"/>
          <w:rFonts w:hint="eastAsia"/>
          <w:color w:val="auto"/>
        </w:rPr>
        <w:t>姜（泥姜）质量要求、质检机构和包装要求等。</w:t>
      </w:r>
    </w:p>
    <w:p w14:paraId="5A9C97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耘上数商黄姜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姜（泥姜）：生产中品种表现为地下根状茎肥大，品种固有特性的生姜品种</w:t>
      </w:r>
      <w:r>
        <w:rPr>
          <w:rFonts w:hint="eastAsia" w:ascii="宋体" w:hAnsi="宋体" w:eastAsia="宋体" w:cs="宋体"/>
          <w:color w:val="auto"/>
          <w:sz w:val="24"/>
          <w:szCs w:val="24"/>
          <w:lang w:eastAsia="zh-CN"/>
        </w:rPr>
        <w:t>。</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标的物及可换货标的物</w:t>
      </w:r>
      <w:r>
        <w:rPr>
          <w:rFonts w:hint="eastAsia" w:ascii="黑体" w:hAnsi="黑体" w:eastAsia="黑体" w:cstheme="minorEastAsia"/>
          <w:b/>
          <w:bCs/>
          <w:color w:val="auto"/>
          <w:kern w:val="0"/>
          <w:sz w:val="28"/>
          <w:szCs w:val="28"/>
          <w:lang w:val="en-US" w:eastAsia="zh-CN" w:bidi="ar-SA"/>
        </w:rPr>
        <w:t>的质量要求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质量要求：黄姜（泥姜）</w:t>
      </w:r>
      <w:r>
        <w:rPr>
          <w:rFonts w:hint="eastAsia" w:ascii="宋体" w:hAnsi="宋体" w:eastAsia="宋体" w:cs="宋体"/>
          <w:b/>
          <w:bCs/>
          <w:color w:val="auto"/>
          <w:sz w:val="24"/>
          <w:szCs w:val="24"/>
        </w:rPr>
        <w:t>基本要求</w:t>
      </w:r>
    </w:p>
    <w:p w14:paraId="126C6D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000000" w:sz="8" w:space="0"/>
            </w:tcBorders>
            <w:shd w:val="clear" w:color="auto" w:fill="auto"/>
            <w:vAlign w:val="center"/>
          </w:tcPr>
          <w:p w14:paraId="65CA72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000000" w:sz="8" w:space="0"/>
              <w:bottom w:val="single" w:color="auto" w:sz="8" w:space="0"/>
              <w:right w:val="single" w:color="auto" w:sz="8" w:space="0"/>
            </w:tcBorders>
            <w:shd w:val="clear" w:color="auto" w:fill="auto"/>
            <w:vAlign w:val="center"/>
          </w:tcPr>
          <w:p w14:paraId="67E340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p>
          <w:p w14:paraId="672A79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p>
          <w:p w14:paraId="6F596B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标的物黄姜（泥姜）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超过10.00%且不超过15.00%的，超出部分</w:t>
      </w:r>
      <w:r>
        <w:rPr>
          <w:rFonts w:hint="eastAsia" w:ascii="宋体" w:hAnsi="宋体" w:eastAsia="宋体" w:cs="宋体"/>
          <w:color w:val="auto"/>
          <w:sz w:val="24"/>
          <w:szCs w:val="24"/>
        </w:rPr>
        <w:t>按同等重量扣重可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超过15.00%的，超出部分按双倍重量扣重可参与交收货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250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低于30.00%且超过10.00%的，超出部分按照双倍重量扣重可参与交收货，低于10.00%的不允许交收货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B94F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B076B5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可换货标的物质量要求：大姜（泥姜）质量要求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bookmarkStart w:id="0" w:name="_GoBack"/>
      <w:bookmarkEnd w:id="0"/>
      <w:r>
        <w:rPr>
          <w:rFonts w:hint="eastAsia" w:ascii="宋体" w:hAnsi="宋体" w:eastAsia="宋体" w:cs="宋体"/>
          <w:color w:val="auto"/>
          <w:sz w:val="24"/>
          <w:szCs w:val="24"/>
        </w:rPr>
        <w:t>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二类缺陷：包括轻微腐烂、轻微冻伤及热害、病虫害（虫蚀、癞皮、花皮等）、水涝窝（单个姜球上累计面积≥2平方厘米或单个姜球上个数≥3个）、表皮皱缩等缺陷占比</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color w:val="auto"/>
                <w:sz w:val="24"/>
                <w:szCs w:val="24"/>
              </w:rPr>
              <w:t>，其中癞皮、焖筋、轻微腐烂、轻微冻、热伤等缺陷</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p>
    <w:p w14:paraId="2514F8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可换货标的物大姜（泥姜）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22.</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0%，按杂质和包装物</w:t>
      </w:r>
      <w:r>
        <w:rPr>
          <w:rFonts w:hint="eastAsia" w:ascii="宋体" w:hAnsi="宋体" w:eastAsia="宋体" w:cs="宋体"/>
          <w:b w:val="0"/>
          <w:bCs w:val="0"/>
          <w:color w:val="auto"/>
          <w:sz w:val="24"/>
          <w:szCs w:val="24"/>
          <w:lang w:val="en-US" w:eastAsia="zh-CN"/>
        </w:rPr>
        <w:t>含量</w:t>
      </w:r>
      <w:r>
        <w:rPr>
          <w:rFonts w:hint="eastAsia" w:ascii="宋体" w:hAnsi="宋体" w:eastAsia="宋体" w:cs="宋体"/>
          <w:b w:val="0"/>
          <w:bCs w:val="0"/>
          <w:color w:val="auto"/>
          <w:sz w:val="24"/>
          <w:szCs w:val="24"/>
        </w:rPr>
        <w:t>每增加0.</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1%，重量同比例降低0.</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6.一类缺陷在</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%～5%范围的，超出</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%的部分按照超出部分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倍扣重，一类缺陷在5%以上的不允许交收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7.癞皮、焖筋、轻微腐烂、轻微冻伤及热伤等缺陷在</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%的可</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，超出</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%的部分按照2倍重量扣重，以上缺陷在</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1EC52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双层瓦楞纸箱长宽高为50*3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w:t>
      </w:r>
      <w:r>
        <w:rPr>
          <w:rFonts w:hint="eastAsia" w:ascii="宋体" w:hAnsi="宋体" w:eastAsia="宋体" w:cs="宋体"/>
          <w:color w:val="000000" w:themeColor="text1"/>
          <w:sz w:val="24"/>
          <w:szCs w:val="24"/>
          <w:lang w:val="en-US" w:eastAsia="zh-CN"/>
          <w14:textFill>
            <w14:solidFill>
              <w14:schemeClr w14:val="tx1"/>
            </w14:solidFill>
          </w14:textFill>
        </w:rPr>
        <w:t>850</w:t>
      </w:r>
      <w:r>
        <w:rPr>
          <w:rFonts w:hint="eastAsia" w:ascii="宋体" w:hAnsi="宋体" w:eastAsia="宋体" w:cs="宋体"/>
          <w:color w:val="000000" w:themeColor="text1"/>
          <w:sz w:val="24"/>
          <w:szCs w:val="24"/>
          <w14:textFill>
            <w14:solidFill>
              <w14:schemeClr w14:val="tx1"/>
            </w14:solidFill>
          </w14:textFill>
        </w:rPr>
        <w:t>g以上</w:t>
      </w:r>
      <w:r>
        <w:rPr>
          <w:rFonts w:hint="default" w:ascii="宋体" w:hAnsi="宋体" w:cs="宋体"/>
          <w:color w:val="000000" w:themeColor="text1"/>
          <w:sz w:val="24"/>
          <w:szCs w:val="24"/>
          <w:lang w:val="en-US"/>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50*30*30cm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纸箱净重630g以上</w:t>
      </w:r>
      <w:r>
        <w:rPr>
          <w:rFonts w:hint="default" w:ascii="宋体" w:hAnsi="宋体" w:cs="宋体"/>
          <w:color w:val="000000" w:themeColor="text1"/>
          <w:sz w:val="24"/>
          <w:szCs w:val="24"/>
          <w:lang w:val="en-US"/>
          <w14:textFill>
            <w14:solidFill>
              <w14:schemeClr w14:val="tx1"/>
            </w14:solidFill>
          </w14:textFill>
        </w:rPr>
        <w:t>），</w:t>
      </w:r>
      <w:r>
        <w:rPr>
          <w:rFonts w:hint="default" w:ascii="宋体" w:hAnsi="宋体" w:eastAsia="宋体" w:cs="宋体"/>
          <w:b w:val="0"/>
          <w:bCs w:val="0"/>
          <w:i w:val="0"/>
          <w:iCs w:val="0"/>
          <w:color w:val="000000" w:themeColor="text1"/>
          <w:kern w:val="0"/>
          <w:sz w:val="24"/>
          <w:szCs w:val="24"/>
          <w:highlight w:val="none"/>
          <w:vertAlign w:val="baseline"/>
          <w:lang w:val="en-US" w:eastAsia="zh-CN" w:bidi="ar-SA"/>
          <w14:textFill>
            <w14:solidFill>
              <w14:schemeClr w14:val="tx1"/>
            </w14:solidFill>
          </w14:textFill>
        </w:rPr>
        <w:t>允许有1～2cm误差。</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本说明构成耘上数商《订单配货协议》附录之一。</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w:t>
      </w:r>
    </w:p>
    <w:sectPr>
      <w:pgSz w:w="11906" w:h="16838"/>
      <w:pgMar w:top="1383" w:right="1689"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E2C01"/>
    <w:multiLevelType w:val="singleLevel"/>
    <w:tmpl w:val="C58E2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6F0A91"/>
    <w:rsid w:val="01801795"/>
    <w:rsid w:val="018D7D3C"/>
    <w:rsid w:val="02F36748"/>
    <w:rsid w:val="031F2043"/>
    <w:rsid w:val="0490144A"/>
    <w:rsid w:val="04D7565B"/>
    <w:rsid w:val="057772EC"/>
    <w:rsid w:val="05B64EE1"/>
    <w:rsid w:val="07124399"/>
    <w:rsid w:val="080A1514"/>
    <w:rsid w:val="098B0432"/>
    <w:rsid w:val="098E2E78"/>
    <w:rsid w:val="0B031328"/>
    <w:rsid w:val="0D6E60A1"/>
    <w:rsid w:val="0DB60ADD"/>
    <w:rsid w:val="0E0D58BA"/>
    <w:rsid w:val="0E603C3C"/>
    <w:rsid w:val="0E981762"/>
    <w:rsid w:val="0EB977F0"/>
    <w:rsid w:val="10451A9C"/>
    <w:rsid w:val="106F6AD7"/>
    <w:rsid w:val="11112571"/>
    <w:rsid w:val="11AF0C31"/>
    <w:rsid w:val="12531521"/>
    <w:rsid w:val="127B2EAB"/>
    <w:rsid w:val="12985208"/>
    <w:rsid w:val="12FD414F"/>
    <w:rsid w:val="14535080"/>
    <w:rsid w:val="149B5AA6"/>
    <w:rsid w:val="15323E58"/>
    <w:rsid w:val="165119C7"/>
    <w:rsid w:val="16946B78"/>
    <w:rsid w:val="17E1018C"/>
    <w:rsid w:val="194F6162"/>
    <w:rsid w:val="1A974E89"/>
    <w:rsid w:val="1AB23A71"/>
    <w:rsid w:val="1B1F09DB"/>
    <w:rsid w:val="1B917B2A"/>
    <w:rsid w:val="1BC5773C"/>
    <w:rsid w:val="1C7A3A3B"/>
    <w:rsid w:val="1D9D5012"/>
    <w:rsid w:val="1DD147A6"/>
    <w:rsid w:val="1E8A0861"/>
    <w:rsid w:val="1ED55F80"/>
    <w:rsid w:val="1F673211"/>
    <w:rsid w:val="1F8F03D5"/>
    <w:rsid w:val="227D36CE"/>
    <w:rsid w:val="231B23CF"/>
    <w:rsid w:val="23DE58D7"/>
    <w:rsid w:val="25B740E7"/>
    <w:rsid w:val="25D074A1"/>
    <w:rsid w:val="26A34BB6"/>
    <w:rsid w:val="26BD5C77"/>
    <w:rsid w:val="27090EBD"/>
    <w:rsid w:val="284739DB"/>
    <w:rsid w:val="285E32EB"/>
    <w:rsid w:val="2A461540"/>
    <w:rsid w:val="2B0F1CB0"/>
    <w:rsid w:val="2C0A1682"/>
    <w:rsid w:val="2CC652AA"/>
    <w:rsid w:val="2D943A2B"/>
    <w:rsid w:val="2DA851F7"/>
    <w:rsid w:val="2E5E0013"/>
    <w:rsid w:val="2F6D4FB7"/>
    <w:rsid w:val="2F804D60"/>
    <w:rsid w:val="3031330E"/>
    <w:rsid w:val="316F7DFE"/>
    <w:rsid w:val="31857392"/>
    <w:rsid w:val="359730C5"/>
    <w:rsid w:val="366E3BE0"/>
    <w:rsid w:val="39507CB7"/>
    <w:rsid w:val="3B2C645E"/>
    <w:rsid w:val="3B7D37CF"/>
    <w:rsid w:val="3FB83782"/>
    <w:rsid w:val="40A67324"/>
    <w:rsid w:val="41445EFA"/>
    <w:rsid w:val="42B37AD7"/>
    <w:rsid w:val="43361572"/>
    <w:rsid w:val="440C56F0"/>
    <w:rsid w:val="46F07114"/>
    <w:rsid w:val="47242DD9"/>
    <w:rsid w:val="472471F5"/>
    <w:rsid w:val="4878407A"/>
    <w:rsid w:val="489F2FD7"/>
    <w:rsid w:val="4A113A61"/>
    <w:rsid w:val="4C3A50C6"/>
    <w:rsid w:val="4E123059"/>
    <w:rsid w:val="52034DA3"/>
    <w:rsid w:val="524D5852"/>
    <w:rsid w:val="534E61E1"/>
    <w:rsid w:val="54091553"/>
    <w:rsid w:val="54A11E85"/>
    <w:rsid w:val="54EC0ADA"/>
    <w:rsid w:val="57417B9C"/>
    <w:rsid w:val="57527466"/>
    <w:rsid w:val="5CC2508E"/>
    <w:rsid w:val="5F68267E"/>
    <w:rsid w:val="620123E4"/>
    <w:rsid w:val="62562501"/>
    <w:rsid w:val="65660CAD"/>
    <w:rsid w:val="669A69C9"/>
    <w:rsid w:val="66FA6F7F"/>
    <w:rsid w:val="680C04FD"/>
    <w:rsid w:val="69502213"/>
    <w:rsid w:val="69CC1807"/>
    <w:rsid w:val="6A0171F6"/>
    <w:rsid w:val="6A040A94"/>
    <w:rsid w:val="6CCC3C0D"/>
    <w:rsid w:val="6D021801"/>
    <w:rsid w:val="70E54451"/>
    <w:rsid w:val="75263FB5"/>
    <w:rsid w:val="75745D3F"/>
    <w:rsid w:val="77170059"/>
    <w:rsid w:val="77326E3A"/>
    <w:rsid w:val="77C96E79"/>
    <w:rsid w:val="78C064CE"/>
    <w:rsid w:val="79DE46D7"/>
    <w:rsid w:val="7B186900"/>
    <w:rsid w:val="7D7E6BE3"/>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1126</Words>
  <Characters>1259</Characters>
  <Lines>0</Lines>
  <Paragraphs>0</Paragraphs>
  <TotalTime>12</TotalTime>
  <ScaleCrop>false</ScaleCrop>
  <LinksUpToDate>false</LinksUpToDate>
  <CharactersWithSpaces>1260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婷</cp:lastModifiedBy>
  <cp:lastPrinted>2026-02-27T07:58:00Z</cp:lastPrinted>
  <dcterms:modified xsi:type="dcterms:W3CDTF">2026-03-03T12:24:47Z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D58F6BD74EB848EABCD45398FAF95E57_13</vt:lpwstr>
  </property>
  <property fmtid="{D5CDD505-2E9C-101B-9397-08002B2CF9AE}" pid="4" name="KSOTemplateDocerSaveRecord">
    <vt:lpwstr>eyJoZGlkIjoiYTdiYzA0ZjA1ZWFmNDcyZDJmODE3YjZhZGIyODU0MDMiLCJ1c2VySWQiOiI0MTc2Njg5MzIifQ==</vt:lpwstr>
  </property>
</Properties>
</file>