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95910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jc w:val="center"/>
        <w:rPr>
          <w:rFonts w:hint="eastAsia" w:ascii="新宋体" w:hAnsi="新宋体" w:eastAsia="新宋体" w:cstheme="minorEastAsia"/>
          <w:b/>
          <w:bCs/>
          <w:color w:val="auto"/>
          <w:kern w:val="0"/>
          <w:sz w:val="36"/>
          <w:szCs w:val="36"/>
          <w:lang w:val="en-US" w:eastAsia="zh-CN" w:bidi="ar-SA"/>
        </w:rPr>
      </w:pPr>
      <w:r>
        <w:rPr>
          <w:rFonts w:hint="eastAsia" w:ascii="新宋体" w:hAnsi="新宋体" w:eastAsia="新宋体" w:cstheme="minorEastAsia"/>
          <w:b/>
          <w:bCs/>
          <w:color w:val="auto"/>
          <w:kern w:val="0"/>
          <w:sz w:val="36"/>
          <w:szCs w:val="36"/>
          <w:lang w:val="en-US" w:eastAsia="zh-CN" w:bidi="ar-SA"/>
        </w:rPr>
        <w:t>耘上数商白姜（泥姜）2606分级分时专区</w:t>
      </w:r>
    </w:p>
    <w:p w14:paraId="1E7321B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jc w:val="center"/>
        <w:rPr>
          <w:rFonts w:hint="default" w:ascii="新宋体" w:hAnsi="新宋体" w:eastAsia="新宋体" w:cstheme="minorEastAsia"/>
          <w:b/>
          <w:bCs/>
          <w:color w:val="auto"/>
          <w:kern w:val="0"/>
          <w:sz w:val="36"/>
          <w:szCs w:val="36"/>
          <w:lang w:val="en-US" w:eastAsia="zh-CN" w:bidi="ar-SA"/>
        </w:rPr>
      </w:pPr>
      <w:r>
        <w:rPr>
          <w:rFonts w:hint="eastAsia" w:ascii="新宋体" w:hAnsi="新宋体" w:eastAsia="新宋体" w:cstheme="minorEastAsia"/>
          <w:b/>
          <w:bCs/>
          <w:color w:val="auto"/>
          <w:kern w:val="0"/>
          <w:sz w:val="36"/>
          <w:szCs w:val="36"/>
          <w:lang w:val="en-US" w:eastAsia="zh-CN" w:bidi="ar-SA"/>
        </w:rPr>
        <w:t>订单要求与说明</w:t>
      </w:r>
    </w:p>
    <w:tbl>
      <w:tblPr>
        <w:tblStyle w:val="6"/>
        <w:tblW w:w="891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765"/>
        <w:gridCol w:w="6154"/>
      </w:tblGrid>
      <w:tr w14:paraId="3EDB3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6" w:hRule="atLeast"/>
        </w:trPr>
        <w:tc>
          <w:tcPr>
            <w:tcW w:w="27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F72F7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default" w:ascii="Helvetica" w:hAnsi="Helvetica" w:eastAsia="宋体" w:cs="Helvetica"/>
                <w:color w:val="auto"/>
                <w:sz w:val="24"/>
                <w:szCs w:val="24"/>
                <w:lang w:val="en-US" w:eastAsia="zh-CN"/>
              </w:rPr>
            </w:pPr>
            <w:r>
              <w:rPr>
                <w:rFonts w:hint="eastAsia" w:ascii="宋体" w:hAnsi="宋体" w:eastAsia="宋体" w:cs="宋体"/>
                <w:color w:val="auto"/>
                <w:sz w:val="24"/>
                <w:szCs w:val="24"/>
                <w:lang w:val="en-US" w:eastAsia="zh-CN"/>
              </w:rPr>
              <w:t>配货品种</w:t>
            </w:r>
          </w:p>
        </w:tc>
        <w:tc>
          <w:tcPr>
            <w:tcW w:w="61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15B2F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default" w:ascii="Helvetica" w:hAnsi="Helvetica" w:eastAsia="宋体" w:cs="Helvetica"/>
                <w:color w:val="auto"/>
                <w:sz w:val="24"/>
                <w:szCs w:val="24"/>
                <w:lang w:val="en-US" w:eastAsia="zh-CN"/>
              </w:rPr>
            </w:pPr>
            <w:r>
              <w:rPr>
                <w:rFonts w:hint="eastAsia" w:ascii="宋体" w:hAnsi="宋体" w:eastAsia="宋体" w:cs="宋体"/>
                <w:color w:val="auto"/>
                <w:sz w:val="24"/>
                <w:szCs w:val="24"/>
                <w:lang w:val="en-US" w:eastAsia="zh-CN"/>
              </w:rPr>
              <w:t>白</w:t>
            </w:r>
            <w:r>
              <w:rPr>
                <w:rFonts w:hint="eastAsia" w:ascii="宋体" w:hAnsi="宋体" w:eastAsia="宋体" w:cs="宋体"/>
                <w:color w:val="auto"/>
                <w:sz w:val="24"/>
                <w:szCs w:val="24"/>
              </w:rPr>
              <w:t>姜(泥姜)2</w:t>
            </w:r>
            <w:r>
              <w:rPr>
                <w:rFonts w:hint="eastAsia" w:ascii="宋体" w:hAnsi="宋体" w:eastAsia="宋体" w:cs="宋体"/>
                <w:color w:val="auto"/>
                <w:sz w:val="24"/>
                <w:szCs w:val="24"/>
                <w:lang w:val="en-US" w:eastAsia="zh-CN"/>
              </w:rPr>
              <w:t>606</w:t>
            </w:r>
          </w:p>
        </w:tc>
      </w:tr>
      <w:tr w14:paraId="33AFB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6"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1001EEC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商品代码</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037D4A1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default" w:ascii="Helvetica" w:hAnsi="Helvetica" w:eastAsia="宋体" w:cs="Helvetica"/>
                <w:color w:val="auto"/>
                <w:sz w:val="24"/>
                <w:szCs w:val="24"/>
                <w:lang w:val="en-US" w:eastAsia="zh-CN"/>
              </w:rPr>
            </w:pPr>
            <w:r>
              <w:rPr>
                <w:rFonts w:hint="eastAsia" w:ascii="宋体" w:hAnsi="宋体" w:eastAsia="宋体" w:cs="宋体"/>
                <w:color w:val="auto"/>
                <w:sz w:val="24"/>
                <w:szCs w:val="24"/>
                <w:lang w:val="en-US" w:eastAsia="zh-CN"/>
              </w:rPr>
              <w:t>B</w:t>
            </w:r>
            <w:r>
              <w:rPr>
                <w:rFonts w:hint="eastAsia" w:ascii="宋体" w:hAnsi="宋体" w:eastAsia="宋体" w:cs="宋体"/>
                <w:color w:val="auto"/>
                <w:sz w:val="24"/>
                <w:szCs w:val="24"/>
              </w:rPr>
              <w:t>J2</w:t>
            </w:r>
            <w:r>
              <w:rPr>
                <w:rFonts w:hint="eastAsia" w:ascii="宋体" w:hAnsi="宋体" w:eastAsia="宋体" w:cs="宋体"/>
                <w:color w:val="auto"/>
                <w:sz w:val="24"/>
                <w:szCs w:val="24"/>
                <w:lang w:val="en-US" w:eastAsia="zh-CN"/>
              </w:rPr>
              <w:t>606</w:t>
            </w:r>
          </w:p>
        </w:tc>
      </w:tr>
      <w:tr w14:paraId="6EDA2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6"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3792B1D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报价单位</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1E1BAD2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元(人民币，下同)/吨(不含税)</w:t>
            </w:r>
          </w:p>
        </w:tc>
      </w:tr>
      <w:tr w14:paraId="684EE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6"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7999524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Helvetica" w:hAnsi="Helvetica" w:eastAsia="宋体" w:cs="Helvetica"/>
                <w:color w:val="auto"/>
                <w:sz w:val="24"/>
                <w:szCs w:val="24"/>
                <w:lang w:val="en-US" w:eastAsia="zh-CN"/>
              </w:rPr>
            </w:pPr>
            <w:r>
              <w:rPr>
                <w:rFonts w:hint="eastAsia" w:ascii="Helvetica" w:hAnsi="Helvetica" w:eastAsia="宋体" w:cs="Helvetica"/>
                <w:color w:val="auto"/>
                <w:sz w:val="24"/>
                <w:szCs w:val="24"/>
                <w:lang w:val="en-US" w:eastAsia="zh-CN"/>
              </w:rPr>
              <w:t>配货单位</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3319EB6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Helvetica" w:hAnsi="Helvetica" w:eastAsia="宋体" w:cs="Helvetica"/>
                <w:color w:val="auto"/>
                <w:sz w:val="24"/>
                <w:szCs w:val="24"/>
                <w:lang w:val="en-US" w:eastAsia="zh-CN"/>
              </w:rPr>
            </w:pPr>
            <w:r>
              <w:rPr>
                <w:rFonts w:hint="eastAsia" w:ascii="宋体" w:hAnsi="宋体" w:eastAsia="宋体" w:cs="宋体"/>
                <w:color w:val="auto"/>
                <w:sz w:val="24"/>
                <w:szCs w:val="24"/>
              </w:rPr>
              <w:t>1吨/</w:t>
            </w:r>
            <w:r>
              <w:rPr>
                <w:rFonts w:hint="eastAsia" w:ascii="宋体" w:hAnsi="宋体" w:eastAsia="宋体" w:cs="宋体"/>
                <w:color w:val="auto"/>
                <w:sz w:val="24"/>
                <w:szCs w:val="24"/>
                <w:lang w:val="en-US" w:eastAsia="zh-CN"/>
              </w:rPr>
              <w:t>笔</w:t>
            </w:r>
          </w:p>
        </w:tc>
      </w:tr>
      <w:tr w14:paraId="64742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6"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300BA25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最小变动价位</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7AE5972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Helvetica" w:hAnsi="Helvetica" w:eastAsia="宋体" w:cs="Helvetica"/>
                <w:color w:val="auto"/>
                <w:sz w:val="24"/>
                <w:szCs w:val="24"/>
                <w:lang w:eastAsia="zh-CN"/>
              </w:rPr>
            </w:pPr>
            <w:r>
              <w:rPr>
                <w:rFonts w:hint="eastAsia" w:ascii="宋体" w:hAnsi="宋体" w:eastAsia="宋体" w:cs="宋体"/>
                <w:color w:val="auto"/>
                <w:sz w:val="24"/>
                <w:szCs w:val="24"/>
              </w:rPr>
              <w:t>1元/</w:t>
            </w:r>
            <w:r>
              <w:rPr>
                <w:rFonts w:hint="eastAsia" w:ascii="宋体" w:hAnsi="宋体" w:eastAsia="宋体" w:cs="宋体"/>
                <w:color w:val="auto"/>
                <w:sz w:val="24"/>
                <w:szCs w:val="24"/>
                <w:lang w:eastAsia="zh-CN"/>
              </w:rPr>
              <w:t>笔</w:t>
            </w:r>
          </w:p>
        </w:tc>
      </w:tr>
      <w:tr w14:paraId="4B117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6" w:hRule="atLeast"/>
        </w:trPr>
        <w:tc>
          <w:tcPr>
            <w:tcW w:w="2765" w:type="dxa"/>
            <w:tcBorders>
              <w:top w:val="nil"/>
              <w:left w:val="single" w:color="000000" w:sz="8" w:space="0"/>
              <w:bottom w:val="single" w:color="auto" w:sz="8" w:space="0"/>
              <w:right w:val="single" w:color="000000" w:sz="8" w:space="0"/>
            </w:tcBorders>
            <w:shd w:val="clear" w:color="auto" w:fill="auto"/>
            <w:vAlign w:val="center"/>
          </w:tcPr>
          <w:p w14:paraId="67F3C40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上市指导价</w:t>
            </w:r>
          </w:p>
        </w:tc>
        <w:tc>
          <w:tcPr>
            <w:tcW w:w="6154" w:type="dxa"/>
            <w:tcBorders>
              <w:top w:val="nil"/>
              <w:left w:val="single" w:color="000000" w:sz="8" w:space="0"/>
              <w:bottom w:val="single" w:color="auto" w:sz="8" w:space="0"/>
              <w:right w:val="single" w:color="000000" w:sz="8" w:space="0"/>
            </w:tcBorders>
            <w:shd w:val="clear" w:color="auto" w:fill="auto"/>
            <w:vAlign w:val="center"/>
          </w:tcPr>
          <w:p w14:paraId="44C6FA9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Helvetica" w:hAnsi="Helvetica" w:eastAsia="宋体" w:cs="Helvetica"/>
                <w:color w:val="auto"/>
                <w:sz w:val="24"/>
                <w:szCs w:val="24"/>
                <w:lang w:eastAsia="zh-CN"/>
              </w:rPr>
            </w:pPr>
            <w:r>
              <w:rPr>
                <w:rFonts w:hint="eastAsia" w:ascii="宋体" w:hAnsi="宋体" w:eastAsia="宋体" w:cs="宋体"/>
                <w:color w:val="auto"/>
                <w:sz w:val="24"/>
                <w:szCs w:val="24"/>
                <w:lang w:val="en-US" w:eastAsia="zh-CN"/>
              </w:rPr>
              <w:t>36</w:t>
            </w:r>
            <w:bookmarkStart w:id="0" w:name="_GoBack"/>
            <w:bookmarkEnd w:id="0"/>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0元/</w:t>
            </w:r>
            <w:r>
              <w:rPr>
                <w:rFonts w:hint="eastAsia" w:ascii="宋体" w:hAnsi="宋体" w:eastAsia="宋体" w:cs="宋体"/>
                <w:color w:val="auto"/>
                <w:sz w:val="24"/>
                <w:szCs w:val="24"/>
                <w:lang w:eastAsia="zh-CN"/>
              </w:rPr>
              <w:t>笔</w:t>
            </w:r>
          </w:p>
        </w:tc>
      </w:tr>
      <w:tr w14:paraId="5390B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5" w:hRule="atLeast"/>
        </w:trPr>
        <w:tc>
          <w:tcPr>
            <w:tcW w:w="2765" w:type="dxa"/>
            <w:tcBorders>
              <w:top w:val="single" w:color="auto" w:sz="8" w:space="0"/>
              <w:left w:val="single" w:color="auto" w:sz="8" w:space="0"/>
              <w:bottom w:val="single" w:color="auto" w:sz="8" w:space="0"/>
              <w:right w:val="single" w:color="auto" w:sz="8" w:space="0"/>
            </w:tcBorders>
            <w:shd w:val="clear" w:color="auto" w:fill="auto"/>
            <w:vAlign w:val="center"/>
          </w:tcPr>
          <w:p w14:paraId="49DFE01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default" w:ascii="Helvetica" w:hAnsi="Helvetica" w:eastAsia="宋体" w:cs="Helvetica"/>
                <w:color w:val="auto"/>
                <w:sz w:val="24"/>
                <w:szCs w:val="24"/>
                <w:lang w:val="en-US" w:eastAsia="zh-CN"/>
              </w:rPr>
            </w:pPr>
            <w:r>
              <w:rPr>
                <w:rFonts w:hint="eastAsia" w:ascii="宋体" w:hAnsi="宋体" w:eastAsia="宋体" w:cs="宋体"/>
                <w:color w:val="auto"/>
                <w:sz w:val="24"/>
                <w:szCs w:val="24"/>
                <w:lang w:val="en-US" w:eastAsia="zh-CN"/>
              </w:rPr>
              <w:t>软件使用费</w:t>
            </w:r>
          </w:p>
        </w:tc>
        <w:tc>
          <w:tcPr>
            <w:tcW w:w="6154" w:type="dxa"/>
            <w:tcBorders>
              <w:top w:val="single" w:color="auto" w:sz="8" w:space="0"/>
              <w:left w:val="single" w:color="auto" w:sz="8" w:space="0"/>
              <w:bottom w:val="single" w:color="auto" w:sz="8" w:space="0"/>
              <w:right w:val="single" w:color="auto" w:sz="8" w:space="0"/>
            </w:tcBorders>
            <w:shd w:val="clear" w:color="auto" w:fill="auto"/>
            <w:vAlign w:val="center"/>
          </w:tcPr>
          <w:p w14:paraId="1512948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Helvetica" w:hAnsi="Helvetica" w:eastAsia="宋体" w:cs="Helvetica"/>
                <w:color w:val="auto"/>
                <w:sz w:val="24"/>
                <w:szCs w:val="24"/>
                <w:lang w:eastAsia="zh-CN"/>
              </w:rPr>
            </w:pPr>
            <w:r>
              <w:rPr>
                <w:rFonts w:hint="eastAsia" w:ascii="宋体" w:hAnsi="宋体" w:eastAsia="宋体" w:cs="宋体"/>
                <w:color w:val="auto"/>
                <w:sz w:val="24"/>
                <w:szCs w:val="24"/>
              </w:rPr>
              <w:t>2元/</w:t>
            </w:r>
            <w:r>
              <w:rPr>
                <w:rFonts w:hint="eastAsia" w:ascii="宋体" w:hAnsi="宋体" w:eastAsia="宋体" w:cs="宋体"/>
                <w:color w:val="auto"/>
                <w:sz w:val="24"/>
                <w:szCs w:val="24"/>
                <w:lang w:eastAsia="zh-CN"/>
              </w:rPr>
              <w:t>笔</w:t>
            </w:r>
          </w:p>
        </w:tc>
      </w:tr>
      <w:tr w14:paraId="366B9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2" w:hRule="atLeast"/>
        </w:trPr>
        <w:tc>
          <w:tcPr>
            <w:tcW w:w="2765" w:type="dxa"/>
            <w:tcBorders>
              <w:top w:val="single" w:color="auto" w:sz="8" w:space="0"/>
              <w:left w:val="single" w:color="auto" w:sz="8" w:space="0"/>
              <w:bottom w:val="single" w:color="auto" w:sz="8" w:space="0"/>
              <w:right w:val="single" w:color="auto" w:sz="8" w:space="0"/>
            </w:tcBorders>
            <w:shd w:val="clear" w:color="auto" w:fill="auto"/>
            <w:vAlign w:val="center"/>
          </w:tcPr>
          <w:p w14:paraId="5466FDF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交收价差</w:t>
            </w:r>
          </w:p>
        </w:tc>
        <w:tc>
          <w:tcPr>
            <w:tcW w:w="6154" w:type="dxa"/>
            <w:tcBorders>
              <w:top w:val="single" w:color="auto" w:sz="8" w:space="0"/>
              <w:left w:val="single" w:color="auto" w:sz="8" w:space="0"/>
              <w:bottom w:val="single" w:color="auto" w:sz="8" w:space="0"/>
              <w:right w:val="single" w:color="auto" w:sz="8" w:space="0"/>
            </w:tcBorders>
            <w:shd w:val="clear" w:color="auto" w:fill="auto"/>
            <w:vAlign w:val="center"/>
          </w:tcPr>
          <w:p w14:paraId="6575176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40元/笔</w:t>
            </w:r>
          </w:p>
        </w:tc>
      </w:tr>
      <w:tr w14:paraId="1E7F8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6" w:hRule="atLeast"/>
        </w:trPr>
        <w:tc>
          <w:tcPr>
            <w:tcW w:w="2765" w:type="dxa"/>
            <w:tcBorders>
              <w:top w:val="single" w:color="auto" w:sz="8" w:space="0"/>
              <w:left w:val="single" w:color="000000" w:sz="8" w:space="0"/>
              <w:bottom w:val="single" w:color="000000" w:sz="8" w:space="0"/>
              <w:right w:val="single" w:color="000000" w:sz="8" w:space="0"/>
            </w:tcBorders>
            <w:shd w:val="clear" w:color="auto" w:fill="auto"/>
            <w:vAlign w:val="center"/>
          </w:tcPr>
          <w:p w14:paraId="13A2E76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最大订货总量</w:t>
            </w:r>
          </w:p>
        </w:tc>
        <w:tc>
          <w:tcPr>
            <w:tcW w:w="6154" w:type="dxa"/>
            <w:tcBorders>
              <w:top w:val="single" w:color="auto" w:sz="8" w:space="0"/>
              <w:left w:val="single" w:color="000000" w:sz="8" w:space="0"/>
              <w:bottom w:val="single" w:color="000000" w:sz="8" w:space="0"/>
              <w:right w:val="single" w:color="000000" w:sz="8" w:space="0"/>
            </w:tcBorders>
            <w:shd w:val="clear" w:color="auto" w:fill="auto"/>
            <w:vAlign w:val="center"/>
          </w:tcPr>
          <w:p w14:paraId="730D079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Lines="0" w:afterAutospacing="0" w:line="360" w:lineRule="auto"/>
              <w:ind w:left="0" w:right="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15</w:t>
            </w:r>
            <w:r>
              <w:rPr>
                <w:rFonts w:hint="eastAsia" w:ascii="宋体" w:hAnsi="宋体" w:eastAsia="宋体" w:cs="宋体"/>
                <w:color w:val="auto"/>
                <w:sz w:val="24"/>
                <w:szCs w:val="24"/>
              </w:rPr>
              <w:t>万</w:t>
            </w:r>
            <w:r>
              <w:rPr>
                <w:rFonts w:hint="eastAsia" w:ascii="宋体" w:hAnsi="宋体" w:eastAsia="宋体" w:cs="宋体"/>
                <w:color w:val="auto"/>
                <w:sz w:val="24"/>
                <w:szCs w:val="24"/>
                <w:lang w:eastAsia="zh-CN"/>
              </w:rPr>
              <w:t>笔</w:t>
            </w:r>
          </w:p>
          <w:p w14:paraId="117220E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Lines="0" w:afterAutospacing="0" w:line="360" w:lineRule="auto"/>
              <w:ind w:left="0" w:right="0"/>
              <w:jc w:val="center"/>
              <w:rPr>
                <w:rFonts w:hint="default"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耘上数商</w:t>
            </w:r>
            <w:r>
              <w:rPr>
                <w:rFonts w:hint="eastAsia" w:ascii="宋体" w:hAnsi="宋体" w:eastAsia="宋体" w:cs="宋体"/>
                <w:color w:val="auto"/>
                <w:sz w:val="24"/>
                <w:szCs w:val="24"/>
              </w:rPr>
              <w:t>有权根据</w:t>
            </w:r>
            <w:r>
              <w:rPr>
                <w:rFonts w:hint="eastAsia" w:ascii="宋体" w:hAnsi="宋体" w:eastAsia="宋体" w:cs="宋体"/>
                <w:color w:val="auto"/>
                <w:sz w:val="24"/>
                <w:szCs w:val="24"/>
                <w:lang w:eastAsia="zh-CN"/>
              </w:rPr>
              <w:t>配货</w:t>
            </w:r>
            <w:r>
              <w:rPr>
                <w:rFonts w:hint="eastAsia" w:ascii="宋体" w:hAnsi="宋体" w:eastAsia="宋体" w:cs="宋体"/>
                <w:color w:val="auto"/>
                <w:sz w:val="24"/>
                <w:szCs w:val="24"/>
              </w:rPr>
              <w:t>风险状况调整最大订货</w:t>
            </w:r>
            <w:r>
              <w:rPr>
                <w:rFonts w:hint="eastAsia" w:ascii="宋体" w:hAnsi="宋体" w:eastAsia="宋体" w:cs="宋体"/>
                <w:color w:val="auto"/>
                <w:sz w:val="24"/>
                <w:szCs w:val="24"/>
                <w:lang w:val="en-US" w:eastAsia="zh-CN"/>
              </w:rPr>
              <w:t>总</w:t>
            </w:r>
            <w:r>
              <w:rPr>
                <w:rFonts w:hint="eastAsia" w:ascii="宋体" w:hAnsi="宋体" w:eastAsia="宋体" w:cs="宋体"/>
                <w:color w:val="auto"/>
                <w:sz w:val="24"/>
                <w:szCs w:val="24"/>
              </w:rPr>
              <w:t>量，</w:t>
            </w:r>
          </w:p>
          <w:p w14:paraId="24A3449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Lines="0" w:afterAutospacing="0" w:line="360" w:lineRule="auto"/>
              <w:ind w:left="0" w:right="0"/>
              <w:jc w:val="center"/>
              <w:rPr>
                <w:rFonts w:hint="default" w:ascii="宋体" w:hAnsi="宋体" w:eastAsia="宋体" w:cs="宋体"/>
                <w:color w:val="auto"/>
                <w:sz w:val="24"/>
                <w:szCs w:val="24"/>
              </w:rPr>
            </w:pPr>
            <w:r>
              <w:rPr>
                <w:rFonts w:hint="eastAsia" w:ascii="宋体" w:hAnsi="宋体" w:eastAsia="宋体" w:cs="宋体"/>
                <w:color w:val="auto"/>
                <w:sz w:val="24"/>
                <w:szCs w:val="24"/>
              </w:rPr>
              <w:t>详见官网公告）</w:t>
            </w:r>
          </w:p>
        </w:tc>
      </w:tr>
      <w:tr w14:paraId="355D2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6"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1969C33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单笔最大下单量</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691C65D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Lines="0" w:afterAutospacing="0" w:line="360" w:lineRule="auto"/>
              <w:ind w:left="0" w:right="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1000</w:t>
            </w:r>
            <w:r>
              <w:rPr>
                <w:rFonts w:hint="eastAsia" w:ascii="宋体" w:hAnsi="宋体" w:eastAsia="宋体" w:cs="宋体"/>
                <w:color w:val="auto"/>
                <w:sz w:val="24"/>
                <w:szCs w:val="24"/>
                <w:lang w:eastAsia="zh-CN"/>
              </w:rPr>
              <w:t>笔</w:t>
            </w:r>
          </w:p>
          <w:p w14:paraId="6315A66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Lines="0" w:afterAutospacing="0" w:line="360" w:lineRule="auto"/>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耘上数商</w:t>
            </w:r>
            <w:r>
              <w:rPr>
                <w:rFonts w:hint="eastAsia" w:ascii="宋体" w:hAnsi="宋体" w:eastAsia="宋体" w:cs="宋体"/>
                <w:color w:val="auto"/>
                <w:sz w:val="24"/>
                <w:szCs w:val="24"/>
              </w:rPr>
              <w:t>有权根据</w:t>
            </w:r>
            <w:r>
              <w:rPr>
                <w:rFonts w:hint="eastAsia" w:ascii="宋体" w:hAnsi="宋体" w:eastAsia="宋体" w:cs="宋体"/>
                <w:color w:val="auto"/>
                <w:sz w:val="24"/>
                <w:szCs w:val="24"/>
                <w:lang w:eastAsia="zh-CN"/>
              </w:rPr>
              <w:t>配货</w:t>
            </w:r>
            <w:r>
              <w:rPr>
                <w:rFonts w:hint="eastAsia" w:ascii="宋体" w:hAnsi="宋体" w:eastAsia="宋体" w:cs="宋体"/>
                <w:color w:val="auto"/>
                <w:sz w:val="24"/>
                <w:szCs w:val="24"/>
              </w:rPr>
              <w:t>风险状况调整单笔最大下单量，</w:t>
            </w:r>
          </w:p>
          <w:p w14:paraId="340BAF9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Lines="0" w:afterAutospacing="0" w:line="360" w:lineRule="auto"/>
              <w:ind w:left="0" w:right="0"/>
              <w:jc w:val="center"/>
              <w:rPr>
                <w:rFonts w:hint="default" w:ascii="宋体" w:hAnsi="宋体" w:eastAsia="宋体" w:cs="宋体"/>
                <w:color w:val="auto"/>
                <w:sz w:val="24"/>
                <w:szCs w:val="24"/>
              </w:rPr>
            </w:pPr>
            <w:r>
              <w:rPr>
                <w:rFonts w:hint="eastAsia" w:ascii="宋体" w:hAnsi="宋体" w:eastAsia="宋体" w:cs="宋体"/>
                <w:color w:val="auto"/>
                <w:sz w:val="24"/>
                <w:szCs w:val="24"/>
              </w:rPr>
              <w:t>详见官网公告）</w:t>
            </w:r>
          </w:p>
        </w:tc>
      </w:tr>
      <w:tr w14:paraId="4A3F3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38F52B0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涨跌限幅</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098B526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Lines="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上一</w:t>
            </w:r>
            <w:r>
              <w:rPr>
                <w:rFonts w:hint="eastAsia" w:ascii="宋体" w:hAnsi="宋体" w:eastAsia="宋体" w:cs="宋体"/>
                <w:color w:val="auto"/>
                <w:sz w:val="24"/>
                <w:szCs w:val="24"/>
                <w:lang w:eastAsia="zh-CN"/>
              </w:rPr>
              <w:t>配货</w:t>
            </w:r>
            <w:r>
              <w:rPr>
                <w:rFonts w:hint="eastAsia" w:ascii="宋体" w:hAnsi="宋体" w:eastAsia="宋体" w:cs="宋体"/>
                <w:color w:val="auto"/>
                <w:sz w:val="24"/>
                <w:szCs w:val="24"/>
              </w:rPr>
              <w:t>日</w:t>
            </w:r>
            <w:r>
              <w:rPr>
                <w:rFonts w:hint="eastAsia" w:ascii="宋体" w:hAnsi="宋体" w:eastAsia="宋体" w:cs="宋体"/>
                <w:color w:val="auto"/>
                <w:sz w:val="24"/>
                <w:szCs w:val="24"/>
                <w:lang w:val="en-US" w:eastAsia="zh-CN"/>
              </w:rPr>
              <w:t>风控评估价</w:t>
            </w:r>
            <w:r>
              <w:rPr>
                <w:rFonts w:hint="eastAsia" w:ascii="宋体" w:hAnsi="宋体" w:eastAsia="宋体" w:cs="宋体"/>
                <w:color w:val="auto"/>
                <w:sz w:val="24"/>
                <w:szCs w:val="24"/>
              </w:rPr>
              <w:t>的±5%</w:t>
            </w:r>
          </w:p>
          <w:p w14:paraId="2DAE567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Lines="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配货</w:t>
            </w:r>
            <w:r>
              <w:rPr>
                <w:rFonts w:hint="eastAsia" w:ascii="宋体" w:hAnsi="宋体" w:eastAsia="宋体" w:cs="宋体"/>
                <w:color w:val="auto"/>
                <w:sz w:val="24"/>
                <w:szCs w:val="24"/>
              </w:rPr>
              <w:t>首日涨跌</w:t>
            </w:r>
            <w:r>
              <w:rPr>
                <w:rFonts w:hint="eastAsia" w:ascii="宋体" w:hAnsi="宋体" w:eastAsia="宋体" w:cs="宋体"/>
                <w:color w:val="auto"/>
                <w:sz w:val="24"/>
                <w:szCs w:val="24"/>
                <w:lang w:val="en-US" w:eastAsia="zh-CN"/>
              </w:rPr>
              <w:t>限</w:t>
            </w:r>
            <w:r>
              <w:rPr>
                <w:rFonts w:hint="eastAsia" w:ascii="宋体" w:hAnsi="宋体" w:eastAsia="宋体" w:cs="宋体"/>
                <w:color w:val="auto"/>
                <w:sz w:val="24"/>
                <w:szCs w:val="24"/>
              </w:rPr>
              <w:t>幅为上市指导价的±10%)</w:t>
            </w:r>
          </w:p>
          <w:p w14:paraId="1975FA7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Lines="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耘上数商</w:t>
            </w:r>
            <w:r>
              <w:rPr>
                <w:rFonts w:hint="eastAsia" w:ascii="宋体" w:hAnsi="宋体" w:eastAsia="宋体" w:cs="宋体"/>
                <w:color w:val="auto"/>
                <w:sz w:val="24"/>
                <w:szCs w:val="24"/>
              </w:rPr>
              <w:t>有权根据</w:t>
            </w:r>
            <w:r>
              <w:rPr>
                <w:rFonts w:hint="eastAsia" w:ascii="宋体" w:hAnsi="宋体" w:eastAsia="宋体" w:cs="宋体"/>
                <w:color w:val="auto"/>
                <w:sz w:val="24"/>
                <w:szCs w:val="24"/>
                <w:lang w:eastAsia="zh-CN"/>
              </w:rPr>
              <w:t>配货</w:t>
            </w:r>
            <w:r>
              <w:rPr>
                <w:rFonts w:hint="eastAsia" w:ascii="宋体" w:hAnsi="宋体" w:eastAsia="宋体" w:cs="宋体"/>
                <w:color w:val="auto"/>
                <w:sz w:val="24"/>
                <w:szCs w:val="24"/>
              </w:rPr>
              <w:t>风险状况调整</w:t>
            </w:r>
            <w:r>
              <w:rPr>
                <w:rFonts w:hint="eastAsia" w:ascii="宋体" w:hAnsi="宋体" w:eastAsia="宋体" w:cs="宋体"/>
                <w:color w:val="auto"/>
                <w:sz w:val="24"/>
                <w:szCs w:val="24"/>
                <w:lang w:val="en-US" w:eastAsia="zh-CN"/>
              </w:rPr>
              <w:t>涨跌幅度</w:t>
            </w:r>
            <w:r>
              <w:rPr>
                <w:rFonts w:hint="eastAsia" w:ascii="宋体" w:hAnsi="宋体" w:eastAsia="宋体" w:cs="宋体"/>
                <w:color w:val="auto"/>
                <w:sz w:val="24"/>
                <w:szCs w:val="24"/>
              </w:rPr>
              <w:t>，</w:t>
            </w:r>
          </w:p>
          <w:p w14:paraId="449B7E7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Lines="0" w:afterAutospacing="0" w:line="360" w:lineRule="auto"/>
              <w:ind w:left="0" w:right="0"/>
              <w:jc w:val="center"/>
              <w:rPr>
                <w:rFonts w:hint="default" w:ascii="宋体" w:hAnsi="宋体" w:eastAsia="宋体" w:cs="宋体"/>
                <w:color w:val="auto"/>
                <w:sz w:val="24"/>
                <w:szCs w:val="24"/>
              </w:rPr>
            </w:pPr>
            <w:r>
              <w:rPr>
                <w:rFonts w:hint="eastAsia" w:ascii="宋体" w:hAnsi="宋体" w:eastAsia="宋体" w:cs="宋体"/>
                <w:color w:val="auto"/>
                <w:sz w:val="24"/>
                <w:szCs w:val="24"/>
              </w:rPr>
              <w:t>详见官网公告）</w:t>
            </w:r>
          </w:p>
        </w:tc>
      </w:tr>
      <w:tr w14:paraId="0F5C3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2348F26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单账户最大订货量</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7707B08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单边5000</w:t>
            </w:r>
            <w:r>
              <w:rPr>
                <w:rFonts w:hint="eastAsia" w:ascii="宋体" w:hAnsi="宋体" w:eastAsia="宋体" w:cs="宋体"/>
                <w:color w:val="auto"/>
                <w:sz w:val="24"/>
                <w:szCs w:val="24"/>
                <w:lang w:eastAsia="zh-CN"/>
              </w:rPr>
              <w:t>笔</w:t>
            </w:r>
            <w:r>
              <w:rPr>
                <w:rFonts w:hint="eastAsia" w:ascii="宋体" w:hAnsi="宋体" w:eastAsia="宋体" w:cs="宋体"/>
                <w:color w:val="auto"/>
                <w:sz w:val="24"/>
                <w:szCs w:val="24"/>
              </w:rPr>
              <w:t>，双边10000</w:t>
            </w:r>
            <w:r>
              <w:rPr>
                <w:rFonts w:hint="eastAsia" w:ascii="宋体" w:hAnsi="宋体" w:eastAsia="宋体" w:cs="宋体"/>
                <w:color w:val="auto"/>
                <w:sz w:val="24"/>
                <w:szCs w:val="24"/>
                <w:lang w:eastAsia="zh-CN"/>
              </w:rPr>
              <w:t>笔</w:t>
            </w:r>
          </w:p>
          <w:p w14:paraId="6D2EE6D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default"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耘上数商</w:t>
            </w:r>
            <w:r>
              <w:rPr>
                <w:rFonts w:hint="eastAsia" w:ascii="宋体" w:hAnsi="宋体" w:eastAsia="宋体" w:cs="宋体"/>
                <w:color w:val="auto"/>
                <w:sz w:val="24"/>
                <w:szCs w:val="24"/>
              </w:rPr>
              <w:t>有权根据</w:t>
            </w:r>
            <w:r>
              <w:rPr>
                <w:rFonts w:hint="eastAsia" w:ascii="宋体" w:hAnsi="宋体" w:eastAsia="宋体" w:cs="宋体"/>
                <w:color w:val="auto"/>
                <w:sz w:val="24"/>
                <w:szCs w:val="24"/>
                <w:lang w:val="en-US" w:eastAsia="zh-CN"/>
              </w:rPr>
              <w:t>配货</w:t>
            </w:r>
            <w:r>
              <w:rPr>
                <w:rFonts w:hint="eastAsia" w:ascii="宋体" w:hAnsi="宋体" w:eastAsia="宋体" w:cs="宋体"/>
                <w:color w:val="auto"/>
                <w:sz w:val="24"/>
                <w:szCs w:val="24"/>
              </w:rPr>
              <w:t>风险状况调整单账户单边、双边最大订货量及单账户单日最大新增订货量，详见官网公告）</w:t>
            </w:r>
          </w:p>
        </w:tc>
      </w:tr>
      <w:tr w14:paraId="1B911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74D34F8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到期交收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月份</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5375811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月</w:t>
            </w:r>
          </w:p>
        </w:tc>
      </w:tr>
      <w:tr w14:paraId="38A3E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4FC3E8E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收获季</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7F6A1A5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default" w:ascii="Helvetica" w:hAnsi="Helvetica" w:eastAsia="宋体" w:cs="Helvetica"/>
                <w:color w:val="auto"/>
                <w:sz w:val="24"/>
                <w:szCs w:val="24"/>
                <w:lang w:val="en-US" w:eastAsia="zh-CN"/>
              </w:rPr>
            </w:pPr>
            <w:r>
              <w:rPr>
                <w:rFonts w:hint="eastAsia" w:ascii="宋体" w:hAnsi="宋体" w:eastAsia="宋体" w:cs="宋体"/>
                <w:color w:val="auto"/>
                <w:sz w:val="24"/>
                <w:szCs w:val="24"/>
              </w:rPr>
              <w:t>202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年秋冬</w:t>
            </w:r>
            <w:r>
              <w:rPr>
                <w:rFonts w:hint="eastAsia" w:ascii="宋体" w:hAnsi="宋体" w:eastAsia="宋体" w:cs="宋体"/>
                <w:color w:val="auto"/>
                <w:sz w:val="24"/>
                <w:szCs w:val="24"/>
                <w:lang w:val="en-US" w:eastAsia="zh-CN"/>
              </w:rPr>
              <w:t>及2026年春</w:t>
            </w:r>
          </w:p>
        </w:tc>
      </w:tr>
      <w:tr w14:paraId="396D2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0279D88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lang w:eastAsia="zh-CN"/>
              </w:rPr>
              <w:t>配货</w:t>
            </w:r>
            <w:r>
              <w:rPr>
                <w:rFonts w:hint="eastAsia" w:ascii="宋体" w:hAnsi="宋体" w:eastAsia="宋体" w:cs="宋体"/>
                <w:color w:val="auto"/>
                <w:sz w:val="24"/>
                <w:szCs w:val="24"/>
              </w:rPr>
              <w:t>时间</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076177A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周一至周六：9:00-11:30</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；13:00-15:30</w:t>
            </w:r>
          </w:p>
          <w:p w14:paraId="46CF2EB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法定节假日以市场公告为准</w:t>
            </w:r>
          </w:p>
        </w:tc>
      </w:tr>
      <w:tr w14:paraId="0AB3E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1F6AF66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最后</w:t>
            </w:r>
            <w:r>
              <w:rPr>
                <w:rFonts w:hint="eastAsia" w:ascii="宋体" w:hAnsi="宋体" w:eastAsia="宋体" w:cs="宋体"/>
                <w:color w:val="auto"/>
                <w:sz w:val="24"/>
                <w:szCs w:val="24"/>
                <w:lang w:eastAsia="zh-CN"/>
              </w:rPr>
              <w:t>配货</w:t>
            </w:r>
            <w:r>
              <w:rPr>
                <w:rFonts w:hint="eastAsia" w:ascii="宋体" w:hAnsi="宋体" w:eastAsia="宋体" w:cs="宋体"/>
                <w:color w:val="auto"/>
                <w:sz w:val="24"/>
                <w:szCs w:val="24"/>
              </w:rPr>
              <w:t>日</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017BFF8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月15日</w:t>
            </w:r>
          </w:p>
          <w:p w14:paraId="62FCC25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月15日不能新订立存货，只能</w:t>
            </w:r>
            <w:r>
              <w:rPr>
                <w:rFonts w:hint="eastAsia" w:ascii="宋体" w:hAnsi="宋体" w:eastAsia="宋体" w:cs="宋体"/>
                <w:color w:val="auto"/>
                <w:sz w:val="24"/>
                <w:szCs w:val="24"/>
                <w:lang w:val="en-US" w:eastAsia="zh-CN"/>
              </w:rPr>
              <w:t>终止</w:t>
            </w:r>
            <w:r>
              <w:rPr>
                <w:rFonts w:hint="eastAsia" w:ascii="宋体" w:hAnsi="宋体" w:eastAsia="宋体" w:cs="宋体"/>
                <w:color w:val="auto"/>
                <w:sz w:val="24"/>
                <w:szCs w:val="24"/>
              </w:rPr>
              <w:t>存货）</w:t>
            </w:r>
          </w:p>
        </w:tc>
      </w:tr>
      <w:tr w14:paraId="1F7EB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271812D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入库申请截止日</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511A60F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月10日</w:t>
            </w:r>
          </w:p>
        </w:tc>
      </w:tr>
      <w:tr w14:paraId="400B7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670AAF1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入库截止日</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09C0B75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月14日(17:00)</w:t>
            </w:r>
          </w:p>
        </w:tc>
      </w:tr>
      <w:tr w14:paraId="298C3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trPr>
        <w:tc>
          <w:tcPr>
            <w:tcW w:w="2765" w:type="dxa"/>
            <w:tcBorders>
              <w:top w:val="nil"/>
              <w:left w:val="single" w:color="000000" w:sz="8" w:space="0"/>
              <w:bottom w:val="single" w:color="auto" w:sz="4" w:space="0"/>
              <w:right w:val="single" w:color="000000" w:sz="8" w:space="0"/>
            </w:tcBorders>
            <w:shd w:val="clear" w:color="auto" w:fill="auto"/>
            <w:vAlign w:val="center"/>
          </w:tcPr>
          <w:p w14:paraId="57FF462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仓单注册截止日</w:t>
            </w:r>
          </w:p>
        </w:tc>
        <w:tc>
          <w:tcPr>
            <w:tcW w:w="6154" w:type="dxa"/>
            <w:tcBorders>
              <w:top w:val="nil"/>
              <w:left w:val="single" w:color="000000" w:sz="8" w:space="0"/>
              <w:bottom w:val="single" w:color="auto" w:sz="4" w:space="0"/>
              <w:right w:val="single" w:color="000000" w:sz="8" w:space="0"/>
            </w:tcBorders>
            <w:shd w:val="clear" w:color="auto" w:fill="auto"/>
            <w:vAlign w:val="center"/>
          </w:tcPr>
          <w:p w14:paraId="4D73A8C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月15日(12:00材料上报截止)</w:t>
            </w:r>
          </w:p>
        </w:tc>
      </w:tr>
      <w:tr w14:paraId="033C5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9" w:hRule="atLeast"/>
        </w:trPr>
        <w:tc>
          <w:tcPr>
            <w:tcW w:w="2765" w:type="dxa"/>
            <w:tcBorders>
              <w:top w:val="single" w:color="auto" w:sz="4" w:space="0"/>
              <w:left w:val="single" w:color="000000" w:sz="8" w:space="0"/>
              <w:bottom w:val="single" w:color="000000" w:sz="8" w:space="0"/>
              <w:right w:val="single" w:color="000000" w:sz="8" w:space="0"/>
            </w:tcBorders>
            <w:shd w:val="clear" w:color="auto" w:fill="auto"/>
            <w:vAlign w:val="center"/>
          </w:tcPr>
          <w:p w14:paraId="7309CA3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leftChars="0" w:right="0" w:rightChars="0"/>
              <w:jc w:val="center"/>
              <w:rPr>
                <w:rFonts w:hint="eastAsia" w:ascii="Helvetica" w:hAnsi="Helvetica" w:eastAsia="Helvetica" w:cs="Helvetica"/>
                <w:color w:val="auto"/>
                <w:kern w:val="0"/>
                <w:sz w:val="24"/>
                <w:szCs w:val="24"/>
                <w:lang w:val="en-US" w:eastAsia="zh-CN" w:bidi="ar"/>
              </w:rPr>
            </w:pPr>
            <w:r>
              <w:rPr>
                <w:rFonts w:hint="eastAsia" w:ascii="宋体" w:hAnsi="宋体" w:eastAsia="宋体" w:cs="宋体"/>
                <w:color w:val="auto"/>
                <w:sz w:val="24"/>
                <w:szCs w:val="24"/>
              </w:rPr>
              <w:t>规定交收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期截止日</w:t>
            </w:r>
          </w:p>
        </w:tc>
        <w:tc>
          <w:tcPr>
            <w:tcW w:w="6154" w:type="dxa"/>
            <w:tcBorders>
              <w:top w:val="single" w:color="auto" w:sz="4" w:space="0"/>
              <w:left w:val="single" w:color="000000" w:sz="8" w:space="0"/>
              <w:bottom w:val="single" w:color="000000" w:sz="8" w:space="0"/>
              <w:right w:val="single" w:color="000000" w:sz="8" w:space="0"/>
            </w:tcBorders>
            <w:shd w:val="clear" w:color="auto" w:fill="auto"/>
            <w:vAlign w:val="center"/>
          </w:tcPr>
          <w:p w14:paraId="20C3CA6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leftChars="0" w:right="0" w:rightChars="0"/>
              <w:jc w:val="center"/>
              <w:rPr>
                <w:rFonts w:hint="eastAsia" w:ascii="Helvetica" w:hAnsi="Helvetica" w:eastAsia="Helvetica" w:cs="Helvetica"/>
                <w:color w:val="auto"/>
                <w:kern w:val="0"/>
                <w:sz w:val="24"/>
                <w:szCs w:val="24"/>
                <w:lang w:val="en-US" w:eastAsia="zh-CN" w:bidi="ar"/>
              </w:rPr>
            </w:pPr>
            <w:r>
              <w:rPr>
                <w:rFonts w:hint="eastAsia" w:ascii="宋体" w:hAnsi="宋体" w:eastAsia="宋体" w:cs="宋体"/>
                <w:color w:val="auto"/>
                <w:sz w:val="24"/>
                <w:szCs w:val="24"/>
              </w:rPr>
              <w:t>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月22日（17:00)</w:t>
            </w:r>
          </w:p>
        </w:tc>
      </w:tr>
      <w:tr w14:paraId="0E8B8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08D2534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地点</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5815DC1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指定</w:t>
            </w:r>
            <w:r>
              <w:rPr>
                <w:rFonts w:hint="eastAsia" w:ascii="宋体" w:hAnsi="宋体" w:eastAsia="宋体" w:cs="宋体"/>
                <w:color w:val="auto"/>
                <w:sz w:val="24"/>
                <w:szCs w:val="24"/>
                <w:lang w:val="en-US" w:eastAsia="zh-CN"/>
              </w:rPr>
              <w:t>监管认证</w:t>
            </w:r>
            <w:r>
              <w:rPr>
                <w:rFonts w:hint="eastAsia" w:ascii="宋体" w:hAnsi="宋体" w:eastAsia="宋体" w:cs="宋体"/>
                <w:color w:val="auto"/>
                <w:sz w:val="24"/>
                <w:szCs w:val="24"/>
              </w:rPr>
              <w:t>仓库(</w:t>
            </w:r>
            <w:r>
              <w:rPr>
                <w:rFonts w:hint="eastAsia" w:ascii="宋体" w:hAnsi="宋体" w:eastAsia="宋体" w:cs="宋体"/>
                <w:color w:val="auto"/>
                <w:sz w:val="24"/>
                <w:szCs w:val="24"/>
                <w:lang w:val="en-US" w:eastAsia="zh-CN"/>
              </w:rPr>
              <w:t>详见官网</w:t>
            </w:r>
            <w:r>
              <w:rPr>
                <w:rFonts w:hint="eastAsia" w:ascii="宋体" w:hAnsi="宋体" w:eastAsia="宋体" w:cs="宋体"/>
                <w:color w:val="auto"/>
                <w:sz w:val="24"/>
                <w:szCs w:val="24"/>
              </w:rPr>
              <w:t>)</w:t>
            </w:r>
          </w:p>
        </w:tc>
      </w:tr>
      <w:tr w14:paraId="2DEF5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00"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6A5888B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lang w:val="en-US" w:eastAsia="zh-CN"/>
              </w:rPr>
              <w:t>保证金</w:t>
            </w:r>
            <w:r>
              <w:rPr>
                <w:rFonts w:hint="eastAsia" w:ascii="宋体" w:hAnsi="宋体" w:eastAsia="宋体" w:cs="宋体"/>
                <w:color w:val="auto"/>
                <w:sz w:val="24"/>
                <w:szCs w:val="24"/>
              </w:rPr>
              <w:t>比例</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30FD81D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0</w:t>
            </w:r>
            <w:r>
              <w:rPr>
                <w:rFonts w:hint="eastAsia" w:ascii="宋体" w:hAnsi="宋体" w:eastAsia="宋体" w:cs="宋体"/>
                <w:color w:val="auto"/>
                <w:sz w:val="24"/>
                <w:szCs w:val="24"/>
                <w:lang w:eastAsia="zh-CN"/>
              </w:rPr>
              <w:t>笔</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订货量</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万</w:t>
            </w:r>
            <w:r>
              <w:rPr>
                <w:rFonts w:hint="eastAsia" w:ascii="宋体" w:hAnsi="宋体" w:eastAsia="宋体" w:cs="宋体"/>
                <w:color w:val="auto"/>
                <w:sz w:val="24"/>
                <w:szCs w:val="24"/>
                <w:lang w:eastAsia="zh-CN"/>
              </w:rPr>
              <w:t>笔</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保证金</w:t>
            </w:r>
            <w:r>
              <w:rPr>
                <w:rFonts w:hint="eastAsia" w:ascii="宋体" w:hAnsi="宋体" w:eastAsia="宋体" w:cs="宋体"/>
                <w:color w:val="auto"/>
                <w:sz w:val="24"/>
                <w:szCs w:val="24"/>
              </w:rPr>
              <w:t>比例为20%；</w:t>
            </w:r>
          </w:p>
          <w:p w14:paraId="2F6E1E3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万</w:t>
            </w:r>
            <w:r>
              <w:rPr>
                <w:rFonts w:hint="eastAsia" w:ascii="宋体" w:hAnsi="宋体" w:eastAsia="宋体" w:cs="宋体"/>
                <w:color w:val="auto"/>
                <w:sz w:val="24"/>
                <w:szCs w:val="24"/>
                <w:lang w:eastAsia="zh-CN"/>
              </w:rPr>
              <w:t>笔</w:t>
            </w:r>
            <w:r>
              <w:rPr>
                <w:rFonts w:hint="eastAsia" w:ascii="宋体" w:hAnsi="宋体" w:eastAsia="宋体" w:cs="宋体"/>
                <w:color w:val="auto"/>
                <w:sz w:val="24"/>
                <w:szCs w:val="24"/>
              </w:rPr>
              <w:t>≤订货量≤</w:t>
            </w:r>
            <w:r>
              <w:rPr>
                <w:rFonts w:hint="eastAsia" w:ascii="宋体" w:hAnsi="宋体" w:eastAsia="宋体" w:cs="宋体"/>
                <w:color w:val="auto"/>
                <w:sz w:val="24"/>
                <w:szCs w:val="24"/>
                <w:lang w:val="en-US" w:eastAsia="zh-CN"/>
              </w:rPr>
              <w:t>15</w:t>
            </w:r>
            <w:r>
              <w:rPr>
                <w:rFonts w:hint="eastAsia" w:ascii="宋体" w:hAnsi="宋体" w:eastAsia="宋体" w:cs="宋体"/>
                <w:color w:val="auto"/>
                <w:sz w:val="24"/>
                <w:szCs w:val="24"/>
              </w:rPr>
              <w:t>万</w:t>
            </w:r>
            <w:r>
              <w:rPr>
                <w:rFonts w:hint="eastAsia" w:ascii="宋体" w:hAnsi="宋体" w:eastAsia="宋体" w:cs="宋体"/>
                <w:color w:val="auto"/>
                <w:sz w:val="24"/>
                <w:szCs w:val="24"/>
                <w:lang w:eastAsia="zh-CN"/>
              </w:rPr>
              <w:t>笔</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保证金比例增加1</w:t>
            </w:r>
            <w:r>
              <w:rPr>
                <w:rFonts w:hint="eastAsia" w:ascii="宋体" w:hAnsi="宋体" w:eastAsia="宋体" w:cs="宋体"/>
                <w:color w:val="auto"/>
                <w:sz w:val="24"/>
                <w:szCs w:val="24"/>
              </w:rPr>
              <w:t>0%</w:t>
            </w:r>
          </w:p>
          <w:p w14:paraId="3456BBC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耘上数商有权根据市场风险状况调整比例</w:t>
            </w:r>
            <w:r>
              <w:rPr>
                <w:rFonts w:hint="eastAsia" w:ascii="宋体" w:hAnsi="宋体" w:eastAsia="宋体" w:cs="宋体"/>
                <w:color w:val="auto"/>
                <w:sz w:val="24"/>
                <w:szCs w:val="24"/>
                <w:lang w:eastAsia="zh-CN"/>
              </w:rPr>
              <w:t>）</w:t>
            </w:r>
          </w:p>
        </w:tc>
      </w:tr>
      <w:tr w14:paraId="43F79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00"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5124EB0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lang w:val="en-US" w:eastAsia="zh-CN"/>
              </w:rPr>
              <w:t>保证金</w:t>
            </w:r>
            <w:r>
              <w:rPr>
                <w:rFonts w:hint="eastAsia" w:ascii="宋体" w:hAnsi="宋体" w:eastAsia="宋体" w:cs="宋体"/>
                <w:color w:val="auto"/>
                <w:sz w:val="24"/>
                <w:szCs w:val="24"/>
              </w:rPr>
              <w:t>阶段提高比例</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17A738A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Lines="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专区</w:t>
            </w:r>
            <w:r>
              <w:rPr>
                <w:rFonts w:hint="eastAsia" w:ascii="宋体" w:hAnsi="宋体" w:eastAsia="宋体" w:cs="宋体"/>
                <w:color w:val="auto"/>
                <w:sz w:val="24"/>
                <w:szCs w:val="24"/>
              </w:rPr>
              <w:t>上市后</w:t>
            </w:r>
            <w:r>
              <w:rPr>
                <w:rFonts w:hint="eastAsia" w:ascii="宋体" w:hAnsi="宋体" w:eastAsia="宋体" w:cs="宋体"/>
                <w:color w:val="auto"/>
                <w:sz w:val="24"/>
                <w:szCs w:val="24"/>
                <w:lang w:val="en-US" w:eastAsia="zh-CN"/>
              </w:rPr>
              <w:t>保证金</w:t>
            </w:r>
            <w:r>
              <w:rPr>
                <w:rFonts w:hint="eastAsia" w:ascii="宋体" w:hAnsi="宋体" w:eastAsia="宋体" w:cs="宋体"/>
                <w:color w:val="auto"/>
                <w:sz w:val="24"/>
                <w:szCs w:val="24"/>
              </w:rPr>
              <w:t>比例为20%,</w:t>
            </w:r>
          </w:p>
          <w:p w14:paraId="782BFF5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Lines="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月1日起提高至30%,</w:t>
            </w:r>
          </w:p>
          <w:p w14:paraId="29C7089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Lines="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月16日起提高至50%,</w:t>
            </w:r>
          </w:p>
          <w:p w14:paraId="52DB6C7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Lines="0" w:afterAutospacing="0" w:line="360" w:lineRule="auto"/>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月1日起提高至100%</w:t>
            </w:r>
          </w:p>
        </w:tc>
      </w:tr>
      <w:tr w14:paraId="6CF42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5"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0EC700D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质检机构</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1F0AB87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default" w:ascii="Helvetica" w:hAnsi="Helvetica" w:eastAsia="宋体" w:cs="Helvetica"/>
                <w:color w:val="auto"/>
                <w:sz w:val="24"/>
                <w:szCs w:val="24"/>
                <w:lang w:val="en-US" w:eastAsia="zh-CN"/>
              </w:rPr>
            </w:pPr>
            <w:r>
              <w:rPr>
                <w:rFonts w:hint="eastAsia" w:ascii="宋体" w:hAnsi="宋体" w:eastAsia="宋体" w:cs="宋体"/>
                <w:color w:val="auto"/>
                <w:sz w:val="24"/>
                <w:szCs w:val="24"/>
                <w:lang w:val="en-US" w:eastAsia="zh-CN"/>
              </w:rPr>
              <w:t>耘上数商指定检验机构</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详见官网</w:t>
            </w:r>
            <w:r>
              <w:rPr>
                <w:rFonts w:hint="eastAsia" w:ascii="宋体" w:hAnsi="宋体" w:eastAsia="宋体" w:cs="宋体"/>
                <w:color w:val="auto"/>
                <w:sz w:val="24"/>
                <w:szCs w:val="24"/>
              </w:rPr>
              <w:t>)</w:t>
            </w:r>
          </w:p>
        </w:tc>
      </w:tr>
      <w:tr w14:paraId="637FD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657A9F6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价</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4FD88A5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最后八个</w:t>
            </w:r>
            <w:r>
              <w:rPr>
                <w:rFonts w:hint="eastAsia" w:ascii="宋体" w:hAnsi="宋体" w:eastAsia="宋体" w:cs="宋体"/>
                <w:color w:val="auto"/>
                <w:sz w:val="24"/>
                <w:szCs w:val="24"/>
                <w:lang w:eastAsia="zh-CN"/>
              </w:rPr>
              <w:t>配货</w:t>
            </w:r>
            <w:r>
              <w:rPr>
                <w:rFonts w:hint="eastAsia" w:ascii="宋体" w:hAnsi="宋体" w:eastAsia="宋体" w:cs="宋体"/>
                <w:color w:val="auto"/>
                <w:sz w:val="24"/>
                <w:szCs w:val="24"/>
              </w:rPr>
              <w:t>日加权平均价</w:t>
            </w:r>
          </w:p>
        </w:tc>
      </w:tr>
      <w:tr w14:paraId="77ABA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7758046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单账户交收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量</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2D74804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Helvetica" w:hAnsi="Helvetica" w:eastAsia="宋体" w:cs="Helvetica"/>
                <w:color w:val="auto"/>
                <w:sz w:val="24"/>
                <w:szCs w:val="24"/>
                <w:lang w:eastAsia="zh-CN"/>
              </w:rPr>
            </w:pPr>
            <w:r>
              <w:rPr>
                <w:rFonts w:hint="eastAsia" w:ascii="宋体" w:hAnsi="宋体" w:eastAsia="宋体" w:cs="宋体"/>
                <w:color w:val="auto"/>
                <w:sz w:val="24"/>
                <w:szCs w:val="24"/>
              </w:rPr>
              <w:t>最小交收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量30</w:t>
            </w:r>
            <w:r>
              <w:rPr>
                <w:rFonts w:hint="eastAsia" w:ascii="宋体" w:hAnsi="宋体" w:eastAsia="宋体" w:cs="宋体"/>
                <w:color w:val="auto"/>
                <w:sz w:val="24"/>
                <w:szCs w:val="24"/>
                <w:lang w:eastAsia="zh-CN"/>
              </w:rPr>
              <w:t>笔</w:t>
            </w:r>
            <w:r>
              <w:rPr>
                <w:rFonts w:hint="eastAsia" w:ascii="宋体" w:hAnsi="宋体" w:eastAsia="宋体" w:cs="宋体"/>
                <w:color w:val="auto"/>
                <w:sz w:val="24"/>
                <w:szCs w:val="24"/>
              </w:rPr>
              <w:t>，最大交收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量5000</w:t>
            </w:r>
            <w:r>
              <w:rPr>
                <w:rFonts w:hint="eastAsia" w:ascii="宋体" w:hAnsi="宋体" w:eastAsia="宋体" w:cs="宋体"/>
                <w:color w:val="auto"/>
                <w:sz w:val="24"/>
                <w:szCs w:val="24"/>
                <w:lang w:eastAsia="zh-CN"/>
              </w:rPr>
              <w:t>笔</w:t>
            </w:r>
          </w:p>
        </w:tc>
      </w:tr>
      <w:tr w14:paraId="206A7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580FCC9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方式</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3379F3F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156" w:beforeAutospacing="0" w:after="159" w:afterLines="50" w:afterAutospacing="0" w:line="240" w:lineRule="auto"/>
              <w:ind w:left="0" w:right="0"/>
              <w:jc w:val="center"/>
              <w:outlineLvl w:val="9"/>
              <w:rPr>
                <w:rFonts w:hint="default" w:ascii="Helvetica" w:hAnsi="Helvetica" w:eastAsia="Helvetica" w:cs="Helvetica"/>
                <w:color w:val="auto"/>
                <w:sz w:val="24"/>
                <w:szCs w:val="24"/>
              </w:rPr>
            </w:pPr>
            <w:r>
              <w:rPr>
                <w:rFonts w:hint="eastAsia" w:ascii="宋体" w:hAnsi="宋体" w:eastAsia="宋体" w:cs="宋体"/>
                <w:color w:val="auto"/>
                <w:sz w:val="24"/>
                <w:szCs w:val="24"/>
              </w:rPr>
              <w:t>提前交收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协议交收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、到期交收</w:t>
            </w:r>
            <w:r>
              <w:rPr>
                <w:rFonts w:hint="eastAsia" w:ascii="宋体" w:hAnsi="宋体" w:eastAsia="宋体" w:cs="宋体"/>
                <w:color w:val="auto"/>
                <w:sz w:val="24"/>
                <w:szCs w:val="24"/>
                <w:lang w:val="en-US" w:eastAsia="zh-CN"/>
              </w:rPr>
              <w:t>货</w:t>
            </w:r>
          </w:p>
        </w:tc>
      </w:tr>
    </w:tbl>
    <w:p w14:paraId="72E9819D">
      <w:pPr>
        <w:rPr>
          <w:rFonts w:hint="eastAsia" w:asciiTheme="minorHAnsi" w:hAnsiTheme="minorHAnsi" w:eastAsiaTheme="minorEastAsia" w:cstheme="minorBidi"/>
          <w:kern w:val="2"/>
          <w:sz w:val="21"/>
          <w:szCs w:val="24"/>
          <w:lang w:val="en-US" w:eastAsia="zh-CN" w:bidi="ar-SA"/>
        </w:rPr>
      </w:pPr>
      <w:r>
        <w:rPr>
          <w:rFonts w:hint="eastAsia" w:ascii="新宋体" w:hAnsi="新宋体" w:eastAsia="新宋体" w:cs="新宋体"/>
          <w:b/>
          <w:bCs/>
          <w:color w:val="auto"/>
          <w:sz w:val="24"/>
          <w:szCs w:val="24"/>
          <w:lang w:val="en-US" w:eastAsia="zh-CN"/>
        </w:rPr>
        <w:br w:type="page"/>
      </w:r>
    </w:p>
    <w:p w14:paraId="2705087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right="0"/>
        <w:jc w:val="center"/>
        <w:rPr>
          <w:rFonts w:hint="default" w:ascii="新宋体" w:hAnsi="新宋体" w:eastAsia="新宋体" w:cstheme="minorEastAsia"/>
          <w:b/>
          <w:bCs/>
          <w:color w:val="auto"/>
          <w:kern w:val="0"/>
          <w:sz w:val="36"/>
          <w:szCs w:val="36"/>
          <w:lang w:val="en-US" w:eastAsia="zh-CN" w:bidi="ar-SA"/>
        </w:rPr>
      </w:pPr>
      <w:r>
        <w:rPr>
          <w:rFonts w:hint="eastAsia" w:ascii="新宋体" w:hAnsi="新宋体" w:eastAsia="新宋体" w:cstheme="minorEastAsia"/>
          <w:b/>
          <w:bCs/>
          <w:color w:val="auto"/>
          <w:kern w:val="0"/>
          <w:sz w:val="36"/>
          <w:szCs w:val="36"/>
          <w:lang w:val="en-US" w:eastAsia="zh-CN" w:bidi="ar-SA"/>
        </w:rPr>
        <w:t>耘上数商白姜（泥姜）交收货质量说明</w:t>
      </w:r>
    </w:p>
    <w:p w14:paraId="4883B7DB">
      <w:pPr>
        <w:pStyle w:val="3"/>
        <w:bidi w:val="0"/>
        <w:outlineLvl w:val="1"/>
        <w:rPr>
          <w:rFonts w:hint="default"/>
          <w:color w:val="auto"/>
          <w:sz w:val="28"/>
          <w:szCs w:val="22"/>
          <w:lang w:val="en-US" w:eastAsia="zh-CN"/>
        </w:rPr>
      </w:pPr>
      <w:r>
        <w:rPr>
          <w:rFonts w:hint="eastAsia"/>
          <w:color w:val="auto"/>
          <w:sz w:val="28"/>
          <w:szCs w:val="22"/>
          <w:lang w:val="en-US" w:eastAsia="zh-CN"/>
        </w:rPr>
        <w:t>一、主题内容与适用范围</w:t>
      </w:r>
    </w:p>
    <w:p w14:paraId="43D40B3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right="0" w:firstLine="480" w:firstLineChars="200"/>
        <w:jc w:val="both"/>
        <w:outlineLvl w:val="9"/>
        <w:rPr>
          <w:rStyle w:val="7"/>
          <w:rFonts w:hint="default"/>
          <w:color w:val="auto"/>
        </w:rPr>
      </w:pPr>
      <w:r>
        <w:rPr>
          <w:rStyle w:val="7"/>
          <w:rFonts w:hint="eastAsia"/>
          <w:color w:val="auto"/>
        </w:rPr>
        <w:t>（一）本</w:t>
      </w:r>
      <w:r>
        <w:rPr>
          <w:rStyle w:val="7"/>
          <w:rFonts w:hint="eastAsia"/>
          <w:color w:val="auto"/>
          <w:lang w:val="en-US" w:eastAsia="zh-CN"/>
        </w:rPr>
        <w:t>说明</w:t>
      </w:r>
      <w:r>
        <w:rPr>
          <w:rStyle w:val="7"/>
          <w:rFonts w:hint="eastAsia"/>
          <w:color w:val="auto"/>
        </w:rPr>
        <w:t>规定了用于</w:t>
      </w:r>
      <w:r>
        <w:rPr>
          <w:rStyle w:val="7"/>
          <w:rFonts w:hint="eastAsia"/>
          <w:color w:val="auto"/>
          <w:lang w:val="en-US" w:eastAsia="zh-CN"/>
        </w:rPr>
        <w:t>耘上数商</w:t>
      </w:r>
      <w:r>
        <w:rPr>
          <w:rStyle w:val="7"/>
          <w:rFonts w:hint="eastAsia"/>
          <w:color w:val="auto"/>
        </w:rPr>
        <w:t>交收</w:t>
      </w:r>
      <w:r>
        <w:rPr>
          <w:rStyle w:val="7"/>
          <w:rFonts w:hint="eastAsia"/>
          <w:color w:val="auto"/>
          <w:lang w:val="en-US" w:eastAsia="zh-CN"/>
        </w:rPr>
        <w:t>货</w:t>
      </w:r>
      <w:r>
        <w:rPr>
          <w:rStyle w:val="7"/>
          <w:rFonts w:hint="eastAsia"/>
          <w:color w:val="auto"/>
        </w:rPr>
        <w:t>的</w:t>
      </w:r>
      <w:r>
        <w:rPr>
          <w:rStyle w:val="7"/>
          <w:rFonts w:hint="eastAsia"/>
          <w:color w:val="auto"/>
          <w:lang w:val="en-US" w:eastAsia="zh-CN"/>
        </w:rPr>
        <w:t>白</w:t>
      </w:r>
      <w:r>
        <w:rPr>
          <w:rStyle w:val="7"/>
          <w:rFonts w:hint="eastAsia"/>
          <w:color w:val="auto"/>
        </w:rPr>
        <w:t>姜（泥姜）质量要求、质检机构和包装要求等。</w:t>
      </w:r>
    </w:p>
    <w:p w14:paraId="5A9C978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firstLine="480" w:firstLineChars="200"/>
        <w:outlineLvl w:val="9"/>
        <w:rPr>
          <w:rStyle w:val="7"/>
          <w:rFonts w:hint="default"/>
          <w:color w:val="auto"/>
        </w:rPr>
      </w:pPr>
      <w:r>
        <w:rPr>
          <w:rStyle w:val="7"/>
          <w:rFonts w:hint="eastAsia"/>
          <w:color w:val="auto"/>
        </w:rPr>
        <w:t>（二）本</w:t>
      </w:r>
      <w:r>
        <w:rPr>
          <w:rStyle w:val="7"/>
          <w:rFonts w:hint="eastAsia"/>
          <w:color w:val="auto"/>
          <w:lang w:val="en-US" w:eastAsia="zh-CN"/>
        </w:rPr>
        <w:t>说明</w:t>
      </w:r>
      <w:r>
        <w:rPr>
          <w:rStyle w:val="7"/>
          <w:rFonts w:hint="eastAsia"/>
          <w:color w:val="auto"/>
        </w:rPr>
        <w:t>适用于</w:t>
      </w:r>
      <w:r>
        <w:rPr>
          <w:rStyle w:val="7"/>
          <w:rFonts w:hint="eastAsia"/>
          <w:color w:val="auto"/>
          <w:lang w:val="en-US" w:eastAsia="zh-CN"/>
        </w:rPr>
        <w:t>耘上数商白姜</w:t>
      </w:r>
      <w:r>
        <w:rPr>
          <w:rStyle w:val="7"/>
          <w:rFonts w:hint="eastAsia"/>
          <w:color w:val="auto"/>
        </w:rPr>
        <w:t>（泥姜）商品</w:t>
      </w:r>
      <w:r>
        <w:rPr>
          <w:rStyle w:val="7"/>
          <w:rFonts w:hint="eastAsia"/>
          <w:color w:val="auto"/>
          <w:lang w:val="en-US" w:eastAsia="zh-CN"/>
        </w:rPr>
        <w:t>专区</w:t>
      </w:r>
      <w:r>
        <w:rPr>
          <w:rStyle w:val="7"/>
          <w:rFonts w:hint="eastAsia"/>
          <w:color w:val="auto"/>
          <w:highlight w:val="none"/>
          <w:lang w:eastAsia="zh-CN"/>
        </w:rPr>
        <w:t>标的物</w:t>
      </w:r>
      <w:r>
        <w:rPr>
          <w:rStyle w:val="7"/>
          <w:rFonts w:hint="eastAsia"/>
          <w:color w:val="auto"/>
          <w:highlight w:val="none"/>
        </w:rPr>
        <w:t>和</w:t>
      </w:r>
      <w:r>
        <w:rPr>
          <w:rStyle w:val="7"/>
          <w:rFonts w:hint="eastAsia"/>
          <w:color w:val="auto"/>
          <w:highlight w:val="none"/>
          <w:lang w:eastAsia="zh-CN"/>
        </w:rPr>
        <w:t>可换货标的物</w:t>
      </w:r>
      <w:r>
        <w:rPr>
          <w:rStyle w:val="7"/>
          <w:rFonts w:hint="eastAsia"/>
          <w:color w:val="auto"/>
        </w:rPr>
        <w:t>。</w:t>
      </w:r>
    </w:p>
    <w:p w14:paraId="255C678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uto"/>
        <w:ind w:left="0" w:right="0"/>
        <w:rPr>
          <w:rFonts w:hint="default" w:ascii="黑体" w:hAnsi="黑体" w:eastAsia="黑体" w:cstheme="minorEastAsia"/>
          <w:b/>
          <w:bCs/>
          <w:color w:val="auto"/>
          <w:kern w:val="0"/>
          <w:sz w:val="28"/>
          <w:szCs w:val="28"/>
          <w:lang w:val="en-US" w:eastAsia="zh-CN" w:bidi="ar-SA"/>
        </w:rPr>
      </w:pPr>
      <w:r>
        <w:rPr>
          <w:rFonts w:hint="eastAsia" w:ascii="黑体" w:hAnsi="黑体" w:eastAsia="黑体" w:cstheme="minorEastAsia"/>
          <w:b/>
          <w:bCs/>
          <w:color w:val="auto"/>
          <w:kern w:val="0"/>
          <w:sz w:val="28"/>
          <w:szCs w:val="28"/>
          <w:lang w:val="en-US" w:eastAsia="zh-CN" w:bidi="ar-SA"/>
        </w:rPr>
        <w:t>二、术语和定义</w:t>
      </w:r>
    </w:p>
    <w:p w14:paraId="0AA9710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right="0"/>
        <w:rPr>
          <w:rFonts w:hint="default" w:ascii="Helvetica" w:hAnsi="Helvetica" w:eastAsia="Helvetica" w:cs="Helvetica"/>
          <w:color w:val="auto"/>
          <w:sz w:val="24"/>
          <w:szCs w:val="24"/>
        </w:rPr>
      </w:pPr>
      <w:r>
        <w:rPr>
          <w:rFonts w:hint="eastAsia" w:ascii="宋体" w:hAnsi="宋体" w:eastAsia="宋体" w:cs="宋体"/>
          <w:color w:val="auto"/>
          <w:sz w:val="24"/>
          <w:szCs w:val="24"/>
        </w:rPr>
        <w:t>下列术语和定义适用于本</w:t>
      </w:r>
      <w:r>
        <w:rPr>
          <w:rFonts w:hint="eastAsia" w:ascii="宋体" w:hAnsi="宋体" w:eastAsia="宋体" w:cs="宋体"/>
          <w:color w:val="auto"/>
          <w:sz w:val="24"/>
          <w:szCs w:val="24"/>
          <w:lang w:val="en-US" w:eastAsia="zh-CN"/>
        </w:rPr>
        <w:t>说明</w:t>
      </w:r>
      <w:r>
        <w:rPr>
          <w:rFonts w:hint="eastAsia" w:ascii="宋体" w:hAnsi="宋体" w:eastAsia="宋体" w:cs="宋体"/>
          <w:color w:val="auto"/>
          <w:sz w:val="24"/>
          <w:szCs w:val="24"/>
        </w:rPr>
        <w:t>。</w:t>
      </w:r>
    </w:p>
    <w:p w14:paraId="0CA77AF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（一）姜（别名生姜）：本</w:t>
      </w:r>
      <w:r>
        <w:rPr>
          <w:rFonts w:hint="eastAsia" w:ascii="宋体" w:hAnsi="宋体" w:eastAsia="宋体" w:cs="宋体"/>
          <w:color w:val="auto"/>
          <w:sz w:val="24"/>
          <w:szCs w:val="24"/>
          <w:lang w:val="en-US" w:eastAsia="zh-CN"/>
        </w:rPr>
        <w:t>说明</w:t>
      </w:r>
      <w:r>
        <w:rPr>
          <w:rFonts w:hint="eastAsia" w:ascii="宋体" w:hAnsi="宋体" w:eastAsia="宋体" w:cs="宋体"/>
          <w:color w:val="auto"/>
          <w:sz w:val="24"/>
          <w:szCs w:val="24"/>
        </w:rPr>
        <w:t>所指姜是姜的地下根状茎，包括母姜、次生姜球和姜芽。</w:t>
      </w:r>
    </w:p>
    <w:p w14:paraId="53A80AD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（二）</w:t>
      </w:r>
      <w:r>
        <w:rPr>
          <w:rFonts w:hint="eastAsia" w:ascii="宋体" w:hAnsi="宋体" w:eastAsia="宋体" w:cs="宋体"/>
          <w:color w:val="auto"/>
          <w:sz w:val="24"/>
          <w:szCs w:val="24"/>
          <w:lang w:val="en-US" w:eastAsia="zh-CN"/>
        </w:rPr>
        <w:t>白</w:t>
      </w:r>
      <w:r>
        <w:rPr>
          <w:rFonts w:hint="eastAsia" w:ascii="宋体" w:hAnsi="宋体" w:eastAsia="宋体" w:cs="宋体"/>
          <w:color w:val="auto"/>
          <w:sz w:val="24"/>
          <w:szCs w:val="24"/>
        </w:rPr>
        <w:t>姜（泥姜）：生产中品种表现为地下根状茎肥大，</w:t>
      </w:r>
      <w:r>
        <w:rPr>
          <w:rFonts w:hint="eastAsia" w:ascii="宋体" w:hAnsi="宋体" w:eastAsia="宋体" w:cs="宋体"/>
          <w:color w:val="auto"/>
          <w:sz w:val="24"/>
          <w:szCs w:val="24"/>
          <w:lang w:val="en-US" w:eastAsia="zh-CN"/>
        </w:rPr>
        <w:t>肉质呈现黄灰白蓝等颜色且</w:t>
      </w:r>
      <w:r>
        <w:rPr>
          <w:rFonts w:hint="eastAsia" w:ascii="宋体" w:hAnsi="宋体" w:eastAsia="宋体" w:cs="宋体"/>
          <w:color w:val="auto"/>
          <w:sz w:val="24"/>
          <w:szCs w:val="24"/>
        </w:rPr>
        <w:t>品种固有特性的生姜品种</w:t>
      </w:r>
      <w:r>
        <w:rPr>
          <w:rFonts w:hint="eastAsia" w:ascii="宋体" w:hAnsi="宋体" w:eastAsia="宋体" w:cs="宋体"/>
          <w:color w:val="auto"/>
          <w:sz w:val="24"/>
          <w:szCs w:val="24"/>
          <w:lang w:eastAsia="zh-CN"/>
        </w:rPr>
        <w:t>。</w:t>
      </w:r>
    </w:p>
    <w:p w14:paraId="0903468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三</w:t>
      </w:r>
      <w:r>
        <w:rPr>
          <w:rFonts w:hint="eastAsia" w:ascii="宋体" w:hAnsi="宋体" w:eastAsia="宋体" w:cs="宋体"/>
          <w:color w:val="auto"/>
          <w:sz w:val="24"/>
          <w:szCs w:val="24"/>
        </w:rPr>
        <w:t>）气味和滋味：应具有生姜特有的、清新的刺激性气味。</w:t>
      </w:r>
    </w:p>
    <w:p w14:paraId="6469925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四</w:t>
      </w:r>
      <w:r>
        <w:rPr>
          <w:rFonts w:hint="eastAsia" w:ascii="宋体" w:hAnsi="宋体" w:eastAsia="宋体" w:cs="宋体"/>
          <w:color w:val="auto"/>
          <w:sz w:val="24"/>
          <w:szCs w:val="24"/>
        </w:rPr>
        <w:t>）相似品种特征：其形态、色泽基本一致，但形态、色泽、内在颜色与大部分姜差别较大的算作异形姜。</w:t>
      </w:r>
    </w:p>
    <w:p w14:paraId="7299DE8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五</w:t>
      </w:r>
      <w:r>
        <w:rPr>
          <w:rFonts w:hint="eastAsia" w:ascii="宋体" w:hAnsi="宋体" w:eastAsia="宋体" w:cs="宋体"/>
          <w:color w:val="auto"/>
          <w:sz w:val="24"/>
          <w:szCs w:val="24"/>
        </w:rPr>
        <w:t>）不完善姜：个体形状不全或受机械伤、病虫害等影响失去部分使用价值的生姜产品。包括：机械伤、腐烂、表皮皱缩、冻、热伤、病虫害姜等。</w:t>
      </w:r>
    </w:p>
    <w:p w14:paraId="4C00277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1.机械伤：整块姜或部分子姜和芽，因刀伤、挤、压、擦、碰等外力造成的伤害（姜球刀伤长度≥3厘米且颜色发黑或擦伤面积≥2平方厘米）。</w:t>
      </w:r>
    </w:p>
    <w:p w14:paraId="53FB742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2.腐烂：因病害或其他原因致使整块姜或局部发生变色变软，或部分姜体伴有异味。</w:t>
      </w:r>
    </w:p>
    <w:p w14:paraId="11ACA64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3.表皮皱缩：因受冻伤、热害、病变或不成熟、失水和水渍等原因致使表皮组织皱缩。</w:t>
      </w:r>
    </w:p>
    <w:p w14:paraId="079E08F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4.冻伤及热伤：因温度异常导致姜体受到损害，部分姜体出现皮色变色或肉质变色发软或姜芽异常现象。</w:t>
      </w:r>
    </w:p>
    <w:p w14:paraId="1A7E761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5.病虫害：受病、虫害造成的损伤。包括癞皮和花皮（单个姜球上累计面积≥2平方厘米，且有明显裂口)、</w:t>
      </w:r>
      <w:r>
        <w:rPr>
          <w:rFonts w:hint="eastAsia" w:ascii="宋体" w:hAnsi="宋体" w:eastAsia="宋体" w:cs="宋体"/>
          <w:color w:val="auto"/>
          <w:sz w:val="24"/>
          <w:szCs w:val="24"/>
          <w:lang w:val="en-US" w:eastAsia="zh-CN"/>
        </w:rPr>
        <w:t>麻脚病（</w:t>
      </w:r>
      <w:r>
        <w:rPr>
          <w:rFonts w:hint="eastAsia" w:ascii="宋体" w:hAnsi="宋体" w:eastAsia="宋体" w:cs="宋体"/>
          <w:color w:val="auto"/>
          <w:sz w:val="24"/>
          <w:szCs w:val="24"/>
        </w:rPr>
        <w:t>单个姜球上累计面积≥2平方厘米</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虫蚀等。</w:t>
      </w:r>
    </w:p>
    <w:p w14:paraId="51CFF7B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6.杂质：姜块表面附着的泥沙以及产品中混入的其他异物。</w:t>
      </w:r>
    </w:p>
    <w:p w14:paraId="5D14EDC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uto"/>
        <w:ind w:left="0" w:right="0"/>
        <w:rPr>
          <w:rFonts w:hint="default" w:ascii="黑体" w:hAnsi="黑体" w:eastAsia="黑体" w:cstheme="minorEastAsia"/>
          <w:b/>
          <w:bCs/>
          <w:color w:val="auto"/>
          <w:kern w:val="0"/>
          <w:sz w:val="28"/>
          <w:szCs w:val="28"/>
          <w:lang w:val="en-US" w:eastAsia="zh-CN" w:bidi="ar-SA"/>
        </w:rPr>
      </w:pPr>
      <w:r>
        <w:rPr>
          <w:rFonts w:hint="eastAsia" w:ascii="黑体" w:hAnsi="黑体" w:eastAsia="黑体" w:cstheme="minorEastAsia"/>
          <w:b/>
          <w:bCs/>
          <w:color w:val="auto"/>
          <w:kern w:val="0"/>
          <w:sz w:val="28"/>
          <w:szCs w:val="28"/>
          <w:lang w:val="en-US" w:eastAsia="zh-CN" w:bidi="ar-SA"/>
        </w:rPr>
        <w:t>三、标的物的质量要求</w:t>
      </w:r>
    </w:p>
    <w:p w14:paraId="7A218AE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b/>
          <w:bCs/>
          <w:color w:val="auto"/>
          <w:sz w:val="24"/>
          <w:szCs w:val="24"/>
        </w:rPr>
      </w:pP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一</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白姜（泥姜）</w:t>
      </w:r>
      <w:r>
        <w:rPr>
          <w:rFonts w:hint="eastAsia" w:ascii="宋体" w:hAnsi="宋体" w:eastAsia="宋体" w:cs="宋体"/>
          <w:b/>
          <w:bCs/>
          <w:color w:val="auto"/>
          <w:sz w:val="24"/>
          <w:szCs w:val="24"/>
        </w:rPr>
        <w:t>基本要求</w:t>
      </w:r>
    </w:p>
    <w:p w14:paraId="126C6D4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用于交收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的</w:t>
      </w:r>
      <w:r>
        <w:rPr>
          <w:rFonts w:hint="eastAsia" w:ascii="宋体" w:hAnsi="宋体" w:eastAsia="宋体" w:cs="宋体"/>
          <w:color w:val="auto"/>
          <w:sz w:val="24"/>
          <w:szCs w:val="24"/>
          <w:lang w:val="en-US" w:eastAsia="zh-CN"/>
        </w:rPr>
        <w:t>白</w:t>
      </w:r>
      <w:r>
        <w:rPr>
          <w:rFonts w:hint="eastAsia" w:ascii="宋体" w:hAnsi="宋体" w:eastAsia="宋体" w:cs="宋体"/>
          <w:color w:val="auto"/>
          <w:sz w:val="24"/>
          <w:szCs w:val="24"/>
        </w:rPr>
        <w:t>姜（泥姜）应符合质量基本要求的规定，如下表。</w:t>
      </w:r>
    </w:p>
    <w:tbl>
      <w:tblPr>
        <w:tblStyle w:val="6"/>
        <w:tblW w:w="85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060"/>
        <w:gridCol w:w="6445"/>
      </w:tblGrid>
      <w:tr w14:paraId="6FE80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206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187C8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项目</w:t>
            </w:r>
          </w:p>
        </w:tc>
        <w:tc>
          <w:tcPr>
            <w:tcW w:w="64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022C5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指标描述(以质量分数计%)</w:t>
            </w:r>
          </w:p>
        </w:tc>
      </w:tr>
      <w:tr w14:paraId="7F0FC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060" w:type="dxa"/>
            <w:tcBorders>
              <w:top w:val="nil"/>
              <w:left w:val="single" w:color="000000" w:sz="8" w:space="0"/>
              <w:bottom w:val="single" w:color="000000" w:sz="8" w:space="0"/>
              <w:right w:val="single" w:color="000000" w:sz="8" w:space="0"/>
            </w:tcBorders>
            <w:shd w:val="clear" w:color="auto" w:fill="auto"/>
            <w:vAlign w:val="center"/>
          </w:tcPr>
          <w:p w14:paraId="2CDE12B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品种</w:t>
            </w:r>
          </w:p>
        </w:tc>
        <w:tc>
          <w:tcPr>
            <w:tcW w:w="6445" w:type="dxa"/>
            <w:tcBorders>
              <w:top w:val="nil"/>
              <w:left w:val="single" w:color="000000" w:sz="8" w:space="0"/>
              <w:bottom w:val="single" w:color="000000" w:sz="8" w:space="0"/>
              <w:right w:val="single" w:color="000000" w:sz="8" w:space="0"/>
            </w:tcBorders>
            <w:shd w:val="clear" w:color="auto" w:fill="auto"/>
            <w:vAlign w:val="center"/>
          </w:tcPr>
          <w:p w14:paraId="0E9D4BD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lang w:val="en-US" w:eastAsia="zh-CN"/>
              </w:rPr>
              <w:t>白</w:t>
            </w:r>
            <w:r>
              <w:rPr>
                <w:rFonts w:hint="eastAsia" w:ascii="宋体" w:hAnsi="宋体" w:eastAsia="宋体" w:cs="宋体"/>
                <w:color w:val="auto"/>
                <w:sz w:val="24"/>
                <w:szCs w:val="24"/>
              </w:rPr>
              <w:t>姜(泥姜)</w:t>
            </w:r>
          </w:p>
        </w:tc>
      </w:tr>
      <w:tr w14:paraId="16215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060" w:type="dxa"/>
            <w:tcBorders>
              <w:top w:val="nil"/>
              <w:left w:val="single" w:color="000000" w:sz="8" w:space="0"/>
              <w:bottom w:val="single" w:color="000000" w:sz="8" w:space="0"/>
              <w:right w:val="single" w:color="000000" w:sz="8" w:space="0"/>
            </w:tcBorders>
            <w:shd w:val="clear" w:color="auto" w:fill="auto"/>
            <w:vAlign w:val="center"/>
          </w:tcPr>
          <w:p w14:paraId="09E9AB7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形态</w:t>
            </w:r>
          </w:p>
        </w:tc>
        <w:tc>
          <w:tcPr>
            <w:tcW w:w="6445" w:type="dxa"/>
            <w:tcBorders>
              <w:top w:val="nil"/>
              <w:left w:val="single" w:color="000000" w:sz="8" w:space="0"/>
              <w:bottom w:val="single" w:color="000000" w:sz="8" w:space="0"/>
              <w:right w:val="single" w:color="000000" w:sz="8" w:space="0"/>
            </w:tcBorders>
            <w:shd w:val="clear" w:color="auto" w:fill="auto"/>
            <w:vAlign w:val="center"/>
          </w:tcPr>
          <w:p w14:paraId="5E79D30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firstLine="480"/>
              <w:rPr>
                <w:rFonts w:hint="default" w:ascii="Helvetica" w:hAnsi="Helvetica" w:eastAsia="Helvetica" w:cs="Helvetica"/>
                <w:color w:val="auto"/>
                <w:sz w:val="24"/>
                <w:szCs w:val="24"/>
              </w:rPr>
            </w:pPr>
            <w:r>
              <w:rPr>
                <w:rFonts w:hint="eastAsia" w:ascii="宋体" w:hAnsi="宋体" w:eastAsia="宋体" w:cs="宋体"/>
                <w:color w:val="auto"/>
                <w:sz w:val="24"/>
                <w:szCs w:val="24"/>
              </w:rPr>
              <w:t>形态正常丰满</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具有相似品种特征，</w:t>
            </w:r>
            <w:r>
              <w:rPr>
                <w:rFonts w:hint="eastAsia" w:ascii="宋体" w:hAnsi="宋体" w:eastAsia="宋体" w:cs="宋体"/>
                <w:color w:val="auto"/>
                <w:sz w:val="24"/>
                <w:szCs w:val="24"/>
                <w:lang w:val="en-US" w:eastAsia="zh-CN"/>
              </w:rPr>
              <w:t>可</w:t>
            </w:r>
            <w:r>
              <w:rPr>
                <w:rFonts w:hint="eastAsia" w:ascii="宋体" w:hAnsi="宋体" w:eastAsia="宋体" w:cs="宋体"/>
                <w:color w:val="auto"/>
                <w:sz w:val="24"/>
                <w:szCs w:val="24"/>
              </w:rPr>
              <w:t>允许少量异形品种。</w:t>
            </w:r>
          </w:p>
        </w:tc>
      </w:tr>
      <w:tr w14:paraId="6269B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060" w:type="dxa"/>
            <w:tcBorders>
              <w:top w:val="nil"/>
              <w:left w:val="single" w:color="000000" w:sz="8" w:space="0"/>
              <w:bottom w:val="single" w:color="000000" w:sz="8" w:space="0"/>
              <w:right w:val="single" w:color="000000" w:sz="8" w:space="0"/>
            </w:tcBorders>
            <w:shd w:val="clear" w:color="auto" w:fill="auto"/>
            <w:vAlign w:val="center"/>
          </w:tcPr>
          <w:p w14:paraId="6831E72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色泽</w:t>
            </w:r>
          </w:p>
        </w:tc>
        <w:tc>
          <w:tcPr>
            <w:tcW w:w="6445" w:type="dxa"/>
            <w:tcBorders>
              <w:top w:val="nil"/>
              <w:left w:val="single" w:color="000000" w:sz="8" w:space="0"/>
              <w:bottom w:val="single" w:color="000000" w:sz="8" w:space="0"/>
              <w:right w:val="single" w:color="000000" w:sz="8" w:space="0"/>
            </w:tcBorders>
            <w:shd w:val="clear" w:color="auto" w:fill="auto"/>
            <w:vAlign w:val="center"/>
          </w:tcPr>
          <w:p w14:paraId="725F286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色泽正常且基本一致</w:t>
            </w:r>
          </w:p>
        </w:tc>
      </w:tr>
      <w:tr w14:paraId="5E19B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060" w:type="dxa"/>
            <w:tcBorders>
              <w:top w:val="nil"/>
              <w:left w:val="single" w:color="000000" w:sz="8" w:space="0"/>
              <w:bottom w:val="single" w:color="000000" w:sz="8" w:space="0"/>
              <w:right w:val="single" w:color="000000" w:sz="8" w:space="0"/>
            </w:tcBorders>
            <w:shd w:val="clear" w:color="auto" w:fill="auto"/>
            <w:vAlign w:val="center"/>
          </w:tcPr>
          <w:p w14:paraId="2932A67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气味</w:t>
            </w:r>
          </w:p>
        </w:tc>
        <w:tc>
          <w:tcPr>
            <w:tcW w:w="6445" w:type="dxa"/>
            <w:tcBorders>
              <w:top w:val="nil"/>
              <w:left w:val="single" w:color="000000" w:sz="8" w:space="0"/>
              <w:bottom w:val="single" w:color="000000" w:sz="8" w:space="0"/>
              <w:right w:val="single" w:color="000000" w:sz="8" w:space="0"/>
            </w:tcBorders>
            <w:shd w:val="clear" w:color="auto" w:fill="auto"/>
            <w:vAlign w:val="center"/>
          </w:tcPr>
          <w:p w14:paraId="71C1CF4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具有姜的正常气味</w:t>
            </w:r>
          </w:p>
        </w:tc>
      </w:tr>
      <w:tr w14:paraId="76579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060" w:type="dxa"/>
            <w:tcBorders>
              <w:top w:val="nil"/>
              <w:left w:val="single" w:color="000000" w:sz="8" w:space="0"/>
              <w:bottom w:val="single" w:color="auto" w:sz="8" w:space="0"/>
              <w:right w:val="single" w:color="000000" w:sz="8" w:space="0"/>
            </w:tcBorders>
            <w:shd w:val="clear" w:color="auto" w:fill="auto"/>
            <w:vAlign w:val="center"/>
          </w:tcPr>
          <w:p w14:paraId="5694C23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整块单重</w:t>
            </w:r>
          </w:p>
        </w:tc>
        <w:tc>
          <w:tcPr>
            <w:tcW w:w="6445" w:type="dxa"/>
            <w:tcBorders>
              <w:top w:val="nil"/>
              <w:left w:val="single" w:color="000000" w:sz="8" w:space="0"/>
              <w:bottom w:val="single" w:color="auto" w:sz="8" w:space="0"/>
              <w:right w:val="single" w:color="000000" w:sz="8" w:space="0"/>
            </w:tcBorders>
            <w:shd w:val="clear" w:color="auto" w:fill="auto"/>
            <w:vAlign w:val="center"/>
          </w:tcPr>
          <w:p w14:paraId="5D22DA0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firstLine="480"/>
              <w:rPr>
                <w:rFonts w:hint="default" w:ascii="Helvetica" w:hAnsi="Helvetica" w:eastAsia="Helvetica" w:cs="Helvetica"/>
                <w:color w:val="auto"/>
                <w:sz w:val="24"/>
                <w:szCs w:val="24"/>
              </w:rPr>
            </w:pPr>
            <w:r>
              <w:rPr>
                <w:rFonts w:hint="eastAsia" w:ascii="宋体" w:hAnsi="宋体" w:eastAsia="宋体" w:cs="宋体"/>
                <w:color w:val="auto"/>
                <w:sz w:val="24"/>
                <w:szCs w:val="24"/>
              </w:rPr>
              <w:t>每</w:t>
            </w:r>
            <w:r>
              <w:rPr>
                <w:rFonts w:hint="eastAsia" w:ascii="宋体" w:hAnsi="宋体" w:eastAsia="宋体" w:cs="宋体"/>
                <w:color w:val="auto"/>
                <w:sz w:val="24"/>
                <w:szCs w:val="24"/>
                <w:lang w:eastAsia="zh-CN"/>
              </w:rPr>
              <w:t>笔</w:t>
            </w:r>
            <w:r>
              <w:rPr>
                <w:rFonts w:hint="eastAsia" w:ascii="宋体" w:hAnsi="宋体" w:eastAsia="宋体" w:cs="宋体"/>
                <w:color w:val="auto"/>
                <w:sz w:val="24"/>
                <w:szCs w:val="24"/>
              </w:rPr>
              <w:t>次</w:t>
            </w:r>
            <w:r>
              <w:rPr>
                <w:rFonts w:hint="eastAsia" w:ascii="宋体" w:hAnsi="宋体" w:eastAsia="宋体" w:cs="宋体"/>
                <w:color w:val="auto"/>
                <w:sz w:val="24"/>
                <w:szCs w:val="24"/>
                <w:lang w:val="en-US" w:eastAsia="zh-CN"/>
              </w:rPr>
              <w:t>白</w:t>
            </w:r>
            <w:r>
              <w:rPr>
                <w:rFonts w:hint="eastAsia" w:ascii="宋体" w:hAnsi="宋体" w:eastAsia="宋体" w:cs="宋体"/>
                <w:color w:val="auto"/>
                <w:sz w:val="24"/>
                <w:szCs w:val="24"/>
              </w:rPr>
              <w:t>姜中，整块单重</w:t>
            </w:r>
            <w:r>
              <w:rPr>
                <w:rFonts w:hint="eastAsia" w:ascii="宋体" w:hAnsi="宋体" w:eastAsia="宋体" w:cs="宋体"/>
                <w:color w:val="auto"/>
                <w:sz w:val="24"/>
                <w:szCs w:val="24"/>
                <w:lang w:val="en-US" w:eastAsia="zh-CN"/>
              </w:rPr>
              <w:t>100</w:t>
            </w:r>
            <w:r>
              <w:rPr>
                <w:rFonts w:hint="eastAsia" w:ascii="宋体" w:hAnsi="宋体" w:eastAsia="宋体" w:cs="宋体"/>
                <w:color w:val="auto"/>
                <w:sz w:val="24"/>
                <w:szCs w:val="24"/>
              </w:rPr>
              <w:t>g以下占比不超过10.0%，</w:t>
            </w:r>
            <w:r>
              <w:rPr>
                <w:rFonts w:hint="eastAsia" w:ascii="宋体" w:hAnsi="宋体" w:eastAsia="宋体" w:cs="宋体"/>
                <w:color w:val="auto"/>
                <w:sz w:val="24"/>
                <w:szCs w:val="24"/>
                <w:lang w:val="en-US" w:eastAsia="zh-CN"/>
              </w:rPr>
              <w:t>40</w:t>
            </w:r>
            <w:r>
              <w:rPr>
                <w:rFonts w:hint="eastAsia" w:ascii="宋体" w:hAnsi="宋体" w:eastAsia="宋体" w:cs="宋体"/>
                <w:color w:val="auto"/>
                <w:sz w:val="24"/>
                <w:szCs w:val="24"/>
              </w:rPr>
              <w:t>0g以上的占比不低于</w:t>
            </w:r>
            <w:r>
              <w:rPr>
                <w:rFonts w:hint="eastAsia" w:ascii="宋体" w:hAnsi="宋体" w:eastAsia="宋体" w:cs="宋体"/>
                <w:color w:val="auto"/>
                <w:sz w:val="24"/>
                <w:szCs w:val="24"/>
                <w:lang w:val="en-US" w:eastAsia="zh-CN"/>
              </w:rPr>
              <w:t>35</w:t>
            </w:r>
            <w:r>
              <w:rPr>
                <w:rFonts w:hint="eastAsia" w:ascii="宋体" w:hAnsi="宋体" w:eastAsia="宋体" w:cs="宋体"/>
                <w:color w:val="auto"/>
                <w:sz w:val="24"/>
                <w:szCs w:val="24"/>
              </w:rPr>
              <w:t>%。</w:t>
            </w:r>
          </w:p>
        </w:tc>
      </w:tr>
      <w:tr w14:paraId="77125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060" w:type="dxa"/>
            <w:tcBorders>
              <w:top w:val="single" w:color="auto" w:sz="8" w:space="0"/>
              <w:left w:val="single" w:color="auto" w:sz="8" w:space="0"/>
              <w:bottom w:val="single" w:color="auto" w:sz="8" w:space="0"/>
              <w:right w:val="single" w:color="auto" w:sz="8" w:space="0"/>
            </w:tcBorders>
            <w:shd w:val="clear" w:color="auto" w:fill="auto"/>
            <w:vAlign w:val="center"/>
          </w:tcPr>
          <w:p w14:paraId="65CA72F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不完善姜</w:t>
            </w:r>
          </w:p>
        </w:tc>
        <w:tc>
          <w:tcPr>
            <w:tcW w:w="6445" w:type="dxa"/>
            <w:tcBorders>
              <w:top w:val="single" w:color="auto" w:sz="8" w:space="0"/>
              <w:left w:val="single" w:color="auto" w:sz="8" w:space="0"/>
              <w:bottom w:val="single" w:color="auto" w:sz="8" w:space="0"/>
              <w:right w:val="single" w:color="auto" w:sz="8" w:space="0"/>
            </w:tcBorders>
            <w:shd w:val="clear" w:color="auto" w:fill="auto"/>
            <w:vAlign w:val="center"/>
          </w:tcPr>
          <w:p w14:paraId="67E3400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0"/>
              <w:rPr>
                <w:rFonts w:hint="default" w:ascii="Helvetica" w:hAnsi="Helvetica" w:eastAsia="Helvetica" w:cs="Helvetica"/>
                <w:color w:val="auto"/>
                <w:sz w:val="24"/>
                <w:szCs w:val="24"/>
              </w:rPr>
            </w:pPr>
            <w:r>
              <w:rPr>
                <w:rFonts w:hint="eastAsia" w:ascii="宋体" w:hAnsi="宋体" w:eastAsia="宋体" w:cs="宋体"/>
                <w:color w:val="auto"/>
                <w:sz w:val="24"/>
                <w:szCs w:val="24"/>
              </w:rPr>
              <w:t>一类缺陷：包括严重腐烂、严重冻伤及热伤（回芽姜等）等缺陷占比≤</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w:t>
            </w:r>
          </w:p>
          <w:p w14:paraId="672A796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0"/>
              <w:rPr>
                <w:rFonts w:hint="default" w:ascii="Helvetica" w:hAnsi="Helvetica" w:eastAsia="Helvetica" w:cs="Helvetica"/>
                <w:color w:val="auto"/>
                <w:sz w:val="24"/>
                <w:szCs w:val="24"/>
              </w:rPr>
            </w:pPr>
            <w:r>
              <w:rPr>
                <w:rFonts w:hint="eastAsia" w:ascii="宋体" w:hAnsi="宋体" w:eastAsia="宋体" w:cs="宋体"/>
                <w:color w:val="auto"/>
                <w:sz w:val="24"/>
                <w:szCs w:val="24"/>
              </w:rPr>
              <w:t>二类缺陷：包括轻微腐烂、轻微冻伤及热害、病虫害（虫蚀、癞皮、花皮</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麻脚</w:t>
            </w:r>
            <w:r>
              <w:rPr>
                <w:rFonts w:hint="eastAsia" w:ascii="宋体" w:hAnsi="宋体" w:eastAsia="宋体" w:cs="宋体"/>
                <w:color w:val="auto"/>
                <w:sz w:val="24"/>
                <w:szCs w:val="24"/>
              </w:rPr>
              <w:t>等）、水涝窝（单个姜球上累计面积≥2平方厘米或单个姜球上个数≥</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个）、表皮皱缩等缺陷占比≤</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w:t>
            </w:r>
          </w:p>
          <w:p w14:paraId="6F596B3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三类缺陷：机械伤</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异形姜等缺陷</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w:t>
            </w:r>
          </w:p>
        </w:tc>
      </w:tr>
      <w:tr w14:paraId="2AE1B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060" w:type="dxa"/>
            <w:tcBorders>
              <w:top w:val="single" w:color="auto" w:sz="8" w:space="0"/>
              <w:left w:val="single" w:color="000000" w:sz="8" w:space="0"/>
              <w:bottom w:val="single" w:color="000000" w:sz="8" w:space="0"/>
              <w:right w:val="single" w:color="000000" w:sz="8" w:space="0"/>
            </w:tcBorders>
            <w:shd w:val="clear" w:color="auto" w:fill="auto"/>
            <w:vAlign w:val="center"/>
          </w:tcPr>
          <w:p w14:paraId="13D4847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杂质和包装物的基准含量</w:t>
            </w:r>
          </w:p>
        </w:tc>
        <w:tc>
          <w:tcPr>
            <w:tcW w:w="6445" w:type="dxa"/>
            <w:tcBorders>
              <w:top w:val="single" w:color="auto" w:sz="8" w:space="0"/>
              <w:left w:val="single" w:color="000000" w:sz="8" w:space="0"/>
              <w:bottom w:val="single" w:color="000000" w:sz="8" w:space="0"/>
              <w:right w:val="single" w:color="000000" w:sz="8" w:space="0"/>
            </w:tcBorders>
            <w:shd w:val="clear" w:color="auto" w:fill="auto"/>
            <w:vAlign w:val="center"/>
          </w:tcPr>
          <w:p w14:paraId="40E0FD2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firstLine="240"/>
              <w:rPr>
                <w:rFonts w:hint="default" w:ascii="Helvetica" w:hAnsi="Helvetica" w:eastAsia="Helvetica" w:cs="Helvetica"/>
                <w:color w:val="auto"/>
                <w:sz w:val="24"/>
                <w:szCs w:val="24"/>
              </w:rPr>
            </w:pPr>
            <w:r>
              <w:rPr>
                <w:rFonts w:hint="eastAsia" w:ascii="宋体" w:hAnsi="宋体" w:eastAsia="宋体" w:cs="宋体"/>
                <w:color w:val="auto"/>
                <w:sz w:val="24"/>
                <w:szCs w:val="24"/>
                <w:lang w:val="en-US" w:eastAsia="zh-CN"/>
              </w:rPr>
              <w:t>12</w:t>
            </w:r>
            <w:r>
              <w:rPr>
                <w:rFonts w:hint="eastAsia" w:ascii="宋体" w:hAnsi="宋体" w:eastAsia="宋体" w:cs="宋体"/>
                <w:color w:val="auto"/>
                <w:sz w:val="24"/>
                <w:szCs w:val="24"/>
              </w:rPr>
              <w:t>.0%（包括泥土、包装以及姜被冲洗掉的部分等）</w:t>
            </w:r>
          </w:p>
        </w:tc>
      </w:tr>
    </w:tbl>
    <w:p w14:paraId="02142A8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6" w:afterAutospacing="0" w:line="400" w:lineRule="atLeast"/>
        <w:ind w:left="0" w:right="0" w:firstLine="480"/>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表1</w:t>
      </w:r>
    </w:p>
    <w:p w14:paraId="54A8C0B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00" w:lineRule="atLeast"/>
        <w:ind w:left="0" w:right="0" w:firstLine="480"/>
        <w:rPr>
          <w:rFonts w:hint="eastAsia" w:ascii="宋体" w:hAnsi="宋体" w:eastAsia="宋体" w:cs="宋体"/>
          <w:color w:val="auto"/>
          <w:sz w:val="24"/>
          <w:szCs w:val="24"/>
        </w:rPr>
      </w:pPr>
      <w:r>
        <w:rPr>
          <w:rFonts w:hint="eastAsia" w:ascii="宋体" w:hAnsi="宋体" w:eastAsia="宋体" w:cs="宋体"/>
          <w:color w:val="auto"/>
          <w:sz w:val="24"/>
          <w:szCs w:val="24"/>
        </w:rPr>
        <w:t>备注：整块单重和不完善姜两个项目的检查和结果统计均以去泥后净姜的重量为准。</w:t>
      </w:r>
    </w:p>
    <w:p w14:paraId="6287943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highlight w:val="none"/>
          <w:lang w:val="en-US" w:eastAsia="zh-CN"/>
        </w:rPr>
        <w:t>标的物白姜（泥姜）</w:t>
      </w:r>
      <w:r>
        <w:rPr>
          <w:rFonts w:hint="eastAsia" w:ascii="宋体" w:hAnsi="宋体" w:eastAsia="宋体" w:cs="宋体"/>
          <w:color w:val="auto"/>
          <w:sz w:val="24"/>
          <w:szCs w:val="24"/>
          <w:lang w:val="en-US" w:eastAsia="zh-CN"/>
        </w:rPr>
        <w:t>增减价</w:t>
      </w:r>
      <w:r>
        <w:rPr>
          <w:rFonts w:hint="eastAsia" w:ascii="宋体" w:hAnsi="宋体" w:eastAsia="宋体" w:cs="宋体"/>
          <w:color w:val="auto"/>
          <w:sz w:val="24"/>
          <w:szCs w:val="24"/>
        </w:rPr>
        <w:t>规定</w:t>
      </w:r>
    </w:p>
    <w:p w14:paraId="4A81E06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jc w:val="both"/>
        <w:rPr>
          <w:rFonts w:hint="default" w:ascii="Helvetica" w:hAnsi="Helvetica" w:eastAsia="Helvetica" w:cs="Helvetica"/>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每</w:t>
      </w:r>
      <w:r>
        <w:rPr>
          <w:rFonts w:hint="eastAsia" w:ascii="宋体" w:hAnsi="宋体" w:eastAsia="宋体" w:cs="宋体"/>
          <w:color w:val="auto"/>
          <w:sz w:val="24"/>
          <w:szCs w:val="24"/>
          <w:lang w:val="en-US" w:eastAsia="zh-CN"/>
        </w:rPr>
        <w:t>批</w:t>
      </w:r>
      <w:r>
        <w:rPr>
          <w:rFonts w:hint="eastAsia" w:ascii="宋体" w:hAnsi="宋体" w:eastAsia="宋体" w:cs="宋体"/>
          <w:color w:val="auto"/>
          <w:sz w:val="24"/>
          <w:szCs w:val="24"/>
        </w:rPr>
        <w:t>次</w:t>
      </w:r>
      <w:r>
        <w:rPr>
          <w:rFonts w:hint="eastAsia" w:ascii="宋体" w:hAnsi="宋体" w:eastAsia="宋体" w:cs="宋体"/>
          <w:color w:val="auto"/>
          <w:sz w:val="24"/>
          <w:szCs w:val="24"/>
          <w:lang w:val="en-US" w:eastAsia="zh-CN"/>
        </w:rPr>
        <w:t>白</w:t>
      </w:r>
      <w:r>
        <w:rPr>
          <w:rFonts w:hint="eastAsia" w:ascii="宋体" w:hAnsi="宋体" w:eastAsia="宋体" w:cs="宋体"/>
          <w:color w:val="auto"/>
          <w:sz w:val="24"/>
          <w:szCs w:val="24"/>
        </w:rPr>
        <w:t>姜中，整块单重</w:t>
      </w:r>
      <w:r>
        <w:rPr>
          <w:rFonts w:hint="eastAsia" w:ascii="宋体" w:hAnsi="宋体" w:eastAsia="宋体" w:cs="宋体"/>
          <w:color w:val="auto"/>
          <w:sz w:val="24"/>
          <w:szCs w:val="24"/>
          <w:lang w:val="en-US" w:eastAsia="zh-CN"/>
        </w:rPr>
        <w:t>100</w:t>
      </w:r>
      <w:r>
        <w:rPr>
          <w:rFonts w:hint="eastAsia" w:ascii="宋体" w:hAnsi="宋体" w:eastAsia="宋体" w:cs="宋体"/>
          <w:color w:val="auto"/>
          <w:sz w:val="24"/>
          <w:szCs w:val="24"/>
        </w:rPr>
        <w:t>g以下占比不超过10.</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0%，</w:t>
      </w:r>
      <w:r>
        <w:rPr>
          <w:rFonts w:hint="eastAsia" w:ascii="宋体" w:hAnsi="宋体" w:eastAsia="宋体" w:cs="宋体"/>
          <w:color w:val="auto"/>
          <w:sz w:val="24"/>
          <w:szCs w:val="24"/>
          <w:lang w:val="en-US" w:eastAsia="zh-CN"/>
        </w:rPr>
        <w:t>超出部分</w:t>
      </w:r>
      <w:r>
        <w:rPr>
          <w:rFonts w:hint="eastAsia" w:ascii="宋体" w:hAnsi="宋体" w:eastAsia="宋体" w:cs="宋体"/>
          <w:color w:val="auto"/>
          <w:sz w:val="24"/>
          <w:szCs w:val="24"/>
        </w:rPr>
        <w:t>按</w:t>
      </w:r>
      <w:r>
        <w:rPr>
          <w:rFonts w:hint="eastAsia" w:ascii="宋体" w:hAnsi="宋体" w:eastAsia="宋体" w:cs="宋体"/>
          <w:color w:val="auto"/>
          <w:sz w:val="24"/>
          <w:szCs w:val="24"/>
          <w:lang w:val="en-US" w:eastAsia="zh-CN"/>
        </w:rPr>
        <w:t>1.5倍</w:t>
      </w:r>
      <w:r>
        <w:rPr>
          <w:rFonts w:hint="eastAsia" w:ascii="宋体" w:hAnsi="宋体" w:eastAsia="宋体" w:cs="宋体"/>
          <w:color w:val="auto"/>
          <w:sz w:val="24"/>
          <w:szCs w:val="24"/>
        </w:rPr>
        <w:t>重量扣重可进行交收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；整块单重</w:t>
      </w:r>
      <w:r>
        <w:rPr>
          <w:rFonts w:hint="eastAsia" w:ascii="宋体" w:hAnsi="宋体" w:eastAsia="宋体" w:cs="宋体"/>
          <w:color w:val="auto"/>
          <w:sz w:val="24"/>
          <w:szCs w:val="24"/>
          <w:lang w:val="en-US" w:eastAsia="zh-CN"/>
        </w:rPr>
        <w:t>400</w:t>
      </w:r>
      <w:r>
        <w:rPr>
          <w:rFonts w:hint="eastAsia" w:ascii="宋体" w:hAnsi="宋体" w:eastAsia="宋体" w:cs="宋体"/>
          <w:color w:val="auto"/>
          <w:sz w:val="24"/>
          <w:szCs w:val="24"/>
        </w:rPr>
        <w:t>g以上占比</w:t>
      </w:r>
      <w:r>
        <w:rPr>
          <w:rFonts w:hint="eastAsia" w:ascii="宋体" w:hAnsi="宋体" w:eastAsia="宋体" w:cs="宋体"/>
          <w:color w:val="auto"/>
          <w:sz w:val="24"/>
          <w:szCs w:val="24"/>
          <w:lang w:val="en-US" w:eastAsia="zh-CN"/>
        </w:rPr>
        <w:t>不低</w:t>
      </w:r>
      <w:r>
        <w:rPr>
          <w:rFonts w:hint="eastAsia" w:ascii="宋体" w:hAnsi="宋体" w:eastAsia="宋体" w:cs="宋体"/>
          <w:color w:val="auto"/>
          <w:sz w:val="24"/>
          <w:szCs w:val="24"/>
        </w:rPr>
        <w:t>于</w:t>
      </w:r>
      <w:r>
        <w:rPr>
          <w:rFonts w:hint="eastAsia" w:ascii="宋体" w:hAnsi="宋体" w:eastAsia="宋体" w:cs="宋体"/>
          <w:color w:val="auto"/>
          <w:sz w:val="24"/>
          <w:szCs w:val="24"/>
          <w:lang w:val="en-US" w:eastAsia="zh-CN"/>
        </w:rPr>
        <w:t>35</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0%</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低于35.00%的不允许交收货</w:t>
      </w:r>
      <w:r>
        <w:rPr>
          <w:rFonts w:hint="eastAsia" w:ascii="宋体" w:hAnsi="宋体" w:eastAsia="宋体" w:cs="宋体"/>
          <w:color w:val="auto"/>
          <w:sz w:val="24"/>
          <w:szCs w:val="24"/>
        </w:rPr>
        <w:t>。重量比例按照四舍五入计算，精确到小数点后</w:t>
      </w:r>
      <w:r>
        <w:rPr>
          <w:rFonts w:hint="eastAsia" w:ascii="宋体" w:hAnsi="宋体" w:eastAsia="宋体" w:cs="宋体"/>
          <w:color w:val="auto"/>
          <w:sz w:val="24"/>
          <w:szCs w:val="24"/>
          <w:lang w:val="en-US" w:eastAsia="zh-CN"/>
        </w:rPr>
        <w:t>两</w:t>
      </w:r>
      <w:r>
        <w:rPr>
          <w:rFonts w:hint="eastAsia" w:ascii="宋体" w:hAnsi="宋体" w:eastAsia="宋体" w:cs="宋体"/>
          <w:color w:val="auto"/>
          <w:sz w:val="24"/>
          <w:szCs w:val="24"/>
        </w:rPr>
        <w:t>位。</w:t>
      </w:r>
    </w:p>
    <w:p w14:paraId="2FD253E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2.杂质和包装物含量低于1</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.0</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%，按杂质和包装物每降低0.1</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%，重量同比例增加0.1%进行交收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w:t>
      </w:r>
    </w:p>
    <w:p w14:paraId="7F008B9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3.杂质和包装物含量高于</w:t>
      </w:r>
      <w:r>
        <w:rPr>
          <w:rFonts w:hint="eastAsia" w:ascii="宋体" w:hAnsi="宋体" w:eastAsia="宋体" w:cs="宋体"/>
          <w:color w:val="auto"/>
          <w:sz w:val="24"/>
          <w:szCs w:val="24"/>
          <w:lang w:val="en-US" w:eastAsia="zh-CN"/>
        </w:rPr>
        <w:t>12</w:t>
      </w:r>
      <w:r>
        <w:rPr>
          <w:rFonts w:hint="eastAsia" w:ascii="宋体" w:hAnsi="宋体" w:eastAsia="宋体" w:cs="宋体"/>
          <w:color w:val="auto"/>
          <w:sz w:val="24"/>
          <w:szCs w:val="24"/>
        </w:rPr>
        <w:t>.0</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%，按杂质和包装物每增加0.1</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%，重量同比例降低0.1</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%进行交收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w:t>
      </w:r>
    </w:p>
    <w:p w14:paraId="3BC65E8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b w:val="0"/>
          <w:bCs w:val="0"/>
          <w:color w:val="auto"/>
          <w:sz w:val="24"/>
          <w:szCs w:val="24"/>
        </w:rPr>
      </w:pPr>
      <w:r>
        <w:rPr>
          <w:rFonts w:hint="eastAsia" w:ascii="宋体" w:hAnsi="宋体" w:eastAsia="宋体" w:cs="宋体"/>
          <w:b w:val="0"/>
          <w:bCs w:val="0"/>
          <w:color w:val="auto"/>
          <w:sz w:val="24"/>
          <w:szCs w:val="24"/>
        </w:rPr>
        <w:t>4.杂质和包装物含量</w:t>
      </w:r>
      <w:r>
        <w:rPr>
          <w:rFonts w:hint="eastAsia" w:ascii="宋体" w:hAnsi="宋体" w:eastAsia="宋体" w:cs="宋体"/>
          <w:b w:val="0"/>
          <w:bCs w:val="0"/>
          <w:color w:val="auto"/>
          <w:sz w:val="24"/>
          <w:szCs w:val="24"/>
          <w:lang w:val="en-US" w:eastAsia="zh-CN"/>
        </w:rPr>
        <w:t>高于18</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0</w:t>
      </w:r>
      <w:r>
        <w:rPr>
          <w:rFonts w:hint="eastAsia" w:ascii="宋体" w:hAnsi="宋体" w:eastAsia="宋体" w:cs="宋体"/>
          <w:b w:val="0"/>
          <w:bCs w:val="0"/>
          <w:color w:val="auto"/>
          <w:sz w:val="24"/>
          <w:szCs w:val="24"/>
        </w:rPr>
        <w:t>0%</w:t>
      </w:r>
      <w:r>
        <w:rPr>
          <w:rFonts w:hint="eastAsia" w:ascii="宋体" w:hAnsi="宋体" w:eastAsia="宋体" w:cs="宋体"/>
          <w:b w:val="0"/>
          <w:bCs w:val="0"/>
          <w:color w:val="auto"/>
          <w:sz w:val="24"/>
          <w:szCs w:val="24"/>
          <w:lang w:val="en-US" w:eastAsia="zh-CN"/>
        </w:rPr>
        <w:t>以上不能进行交收货。</w:t>
      </w:r>
      <w:r>
        <w:rPr>
          <w:rFonts w:hint="eastAsia" w:ascii="宋体" w:hAnsi="宋体" w:eastAsia="宋体" w:cs="宋体"/>
          <w:b w:val="0"/>
          <w:bCs w:val="0"/>
          <w:color w:val="auto"/>
          <w:sz w:val="24"/>
          <w:szCs w:val="24"/>
        </w:rPr>
        <w:t>杂质和包装物含量按四舍五入计算，精确到小数点后两位。</w:t>
      </w:r>
    </w:p>
    <w:p w14:paraId="0065D52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芽长超过</w:t>
      </w:r>
      <w:r>
        <w:rPr>
          <w:rFonts w:hint="eastAsia" w:ascii="宋体" w:hAnsi="宋体" w:eastAsia="宋体" w:cs="宋体"/>
          <w:color w:val="auto"/>
          <w:sz w:val="24"/>
          <w:szCs w:val="24"/>
          <w:lang w:val="en-US" w:eastAsia="zh-CN"/>
        </w:rPr>
        <w:t>2.5</w:t>
      </w:r>
      <w:r>
        <w:rPr>
          <w:rFonts w:hint="eastAsia" w:ascii="宋体" w:hAnsi="宋体" w:eastAsia="宋体" w:cs="宋体"/>
          <w:color w:val="auto"/>
          <w:sz w:val="24"/>
          <w:szCs w:val="24"/>
        </w:rPr>
        <w:t>厘米，姜芽部分按杂质扣重。</w:t>
      </w:r>
    </w:p>
    <w:p w14:paraId="40091FB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eastAsia" w:ascii="宋体" w:hAnsi="宋体" w:eastAsia="宋体" w:cs="宋体"/>
          <w:color w:val="auto"/>
          <w:sz w:val="24"/>
          <w:szCs w:val="24"/>
        </w:rPr>
      </w:pPr>
      <w:r>
        <w:rPr>
          <w:rFonts w:hint="eastAsia" w:ascii="宋体" w:hAnsi="宋体" w:eastAsia="宋体" w:cs="宋体"/>
          <w:color w:val="auto"/>
          <w:sz w:val="24"/>
          <w:szCs w:val="24"/>
        </w:rPr>
        <w:t>6</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一类缺陷在</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%范围的，超出</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%的部分按照超出部分</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倍扣重，一类缺陷在</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%以上的不允许交收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w:t>
      </w:r>
    </w:p>
    <w:p w14:paraId="05EE630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eastAsia" w:ascii="宋体" w:hAnsi="宋体" w:eastAsia="宋体" w:cs="宋体"/>
          <w:color w:val="auto"/>
          <w:sz w:val="24"/>
          <w:szCs w:val="24"/>
        </w:rPr>
      </w:pPr>
      <w:r>
        <w:rPr>
          <w:rFonts w:hint="eastAsia" w:ascii="宋体" w:hAnsi="宋体" w:eastAsia="宋体" w:cs="宋体"/>
          <w:color w:val="auto"/>
          <w:sz w:val="24"/>
          <w:szCs w:val="24"/>
        </w:rPr>
        <w:t>7.</w:t>
      </w:r>
      <w:r>
        <w:rPr>
          <w:rFonts w:hint="eastAsia" w:ascii="宋体" w:hAnsi="宋体" w:eastAsia="宋体" w:cs="宋体"/>
          <w:color w:val="auto"/>
          <w:sz w:val="24"/>
          <w:szCs w:val="24"/>
          <w:lang w:val="en-US" w:eastAsia="zh-CN"/>
        </w:rPr>
        <w:t>二类</w:t>
      </w:r>
      <w:r>
        <w:rPr>
          <w:rFonts w:hint="eastAsia" w:ascii="宋体" w:hAnsi="宋体" w:eastAsia="宋体" w:cs="宋体"/>
          <w:color w:val="auto"/>
          <w:sz w:val="24"/>
          <w:szCs w:val="24"/>
        </w:rPr>
        <w:t>缺陷在</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～14</w:t>
      </w:r>
      <w:r>
        <w:rPr>
          <w:rFonts w:hint="eastAsia" w:ascii="宋体" w:hAnsi="宋体" w:eastAsia="宋体" w:cs="宋体"/>
          <w:color w:val="auto"/>
          <w:sz w:val="24"/>
          <w:szCs w:val="24"/>
        </w:rPr>
        <w:t>%的可</w:t>
      </w:r>
      <w:r>
        <w:rPr>
          <w:rFonts w:hint="eastAsia" w:ascii="宋体" w:hAnsi="宋体" w:eastAsia="宋体" w:cs="宋体"/>
          <w:color w:val="auto"/>
          <w:sz w:val="24"/>
          <w:szCs w:val="24"/>
          <w:lang w:val="en-US" w:eastAsia="zh-CN"/>
        </w:rPr>
        <w:t>参与</w:t>
      </w:r>
      <w:r>
        <w:rPr>
          <w:rFonts w:hint="eastAsia" w:ascii="宋体" w:hAnsi="宋体" w:eastAsia="宋体" w:cs="宋体"/>
          <w:color w:val="auto"/>
          <w:sz w:val="24"/>
          <w:szCs w:val="24"/>
        </w:rPr>
        <w:t>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，超出</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%的部分按照2倍重量扣重，以上缺陷在</w:t>
      </w:r>
      <w:r>
        <w:rPr>
          <w:rFonts w:hint="eastAsia" w:ascii="宋体" w:hAnsi="宋体" w:eastAsia="宋体" w:cs="宋体"/>
          <w:color w:val="auto"/>
          <w:sz w:val="24"/>
          <w:szCs w:val="24"/>
          <w:lang w:val="en-US" w:eastAsia="zh-CN"/>
        </w:rPr>
        <w:t>14</w:t>
      </w:r>
      <w:r>
        <w:rPr>
          <w:rFonts w:hint="eastAsia" w:ascii="宋体" w:hAnsi="宋体" w:eastAsia="宋体" w:cs="宋体"/>
          <w:color w:val="auto"/>
          <w:sz w:val="24"/>
          <w:szCs w:val="24"/>
        </w:rPr>
        <w:t>%以上的不允许交收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w:t>
      </w:r>
    </w:p>
    <w:p w14:paraId="1F9767D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uto"/>
        <w:ind w:left="0" w:right="0"/>
        <w:rPr>
          <w:rFonts w:hint="default" w:ascii="黑体" w:hAnsi="黑体" w:eastAsia="黑体" w:cstheme="minorEastAsia"/>
          <w:b/>
          <w:bCs/>
          <w:color w:val="auto"/>
          <w:kern w:val="0"/>
          <w:sz w:val="28"/>
          <w:szCs w:val="28"/>
          <w:lang w:val="en-US" w:eastAsia="zh-CN" w:bidi="ar-SA"/>
        </w:rPr>
      </w:pPr>
      <w:r>
        <w:rPr>
          <w:rFonts w:hint="eastAsia" w:ascii="黑体" w:hAnsi="黑体" w:eastAsia="黑体" w:cstheme="minorEastAsia"/>
          <w:b/>
          <w:bCs/>
          <w:color w:val="auto"/>
          <w:kern w:val="0"/>
          <w:sz w:val="28"/>
          <w:szCs w:val="28"/>
          <w:lang w:val="en-US" w:eastAsia="zh-CN" w:bidi="ar-SA"/>
        </w:rPr>
        <w:t>四、包装与标识要求</w:t>
      </w:r>
    </w:p>
    <w:p w14:paraId="36488EF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（一）包装</w:t>
      </w:r>
    </w:p>
    <w:p w14:paraId="4FC9AD3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firstLine="560"/>
        <w:rPr>
          <w:rFonts w:hint="default" w:ascii="Helvetica" w:hAnsi="Helvetica" w:eastAsia="Helvetica" w:cs="Helvetica"/>
          <w:color w:val="auto"/>
          <w:sz w:val="24"/>
          <w:szCs w:val="24"/>
        </w:rPr>
      </w:pPr>
      <w:r>
        <w:rPr>
          <w:rFonts w:hint="eastAsia" w:ascii="宋体" w:hAnsi="宋体" w:eastAsia="宋体" w:cs="宋体"/>
          <w:color w:val="auto"/>
          <w:sz w:val="24"/>
          <w:szCs w:val="24"/>
        </w:rPr>
        <w:t>采用行业内常规使用的双层瓦楞纸箱，纸箱内加塑料袋包装，包装箱无破损，包装物计入总重量，无其他农产品标识。</w:t>
      </w:r>
    </w:p>
    <w:p w14:paraId="239D4CF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（二）包装物</w:t>
      </w:r>
      <w:r>
        <w:rPr>
          <w:rFonts w:hint="eastAsia" w:ascii="宋体" w:hAnsi="宋体" w:eastAsia="宋体" w:cs="宋体"/>
          <w:color w:val="auto"/>
          <w:sz w:val="24"/>
          <w:szCs w:val="24"/>
          <w:lang w:val="en-US" w:eastAsia="zh-CN"/>
        </w:rPr>
        <w:t>外观</w:t>
      </w:r>
      <w:r>
        <w:rPr>
          <w:rFonts w:hint="eastAsia" w:ascii="宋体" w:hAnsi="宋体" w:eastAsia="宋体" w:cs="宋体"/>
          <w:color w:val="auto"/>
          <w:sz w:val="24"/>
          <w:szCs w:val="24"/>
        </w:rPr>
        <w:t>要求</w:t>
      </w:r>
    </w:p>
    <w:p w14:paraId="0EFEAAF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1.纸箱外观要求</w:t>
      </w:r>
    </w:p>
    <w:p w14:paraId="79C3FE6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firstLine="560"/>
        <w:rPr>
          <w:rFonts w:hint="default" w:ascii="Helvetica" w:hAnsi="Helvetica" w:eastAsia="Helvetica" w:cs="Helvetica"/>
          <w:color w:val="auto"/>
          <w:sz w:val="24"/>
          <w:szCs w:val="24"/>
        </w:rPr>
      </w:pPr>
      <w:r>
        <w:rPr>
          <w:rFonts w:hint="eastAsia" w:ascii="宋体" w:hAnsi="宋体" w:eastAsia="宋体" w:cs="宋体"/>
          <w:color w:val="auto"/>
          <w:sz w:val="24"/>
          <w:szCs w:val="24"/>
        </w:rPr>
        <w:t>常规使用的双层瓦楞纸箱，包装箱允许有轻微变形，无明显开裂（开裂长度不超过2/3）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无明显浸湿箱（纸箱单面浸湿面积不超过10%）</w:t>
      </w:r>
      <w:r>
        <w:rPr>
          <w:rFonts w:hint="eastAsia" w:ascii="宋体" w:hAnsi="宋体" w:eastAsia="宋体" w:cs="宋体"/>
          <w:color w:val="auto"/>
          <w:sz w:val="24"/>
          <w:szCs w:val="24"/>
        </w:rPr>
        <w:t>等现象。纸箱标签、标志不得出现与生姜行业无关的信息。</w:t>
      </w:r>
    </w:p>
    <w:p w14:paraId="4276EA6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2.纸箱规格要求</w:t>
      </w:r>
    </w:p>
    <w:p w14:paraId="49642CF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firstLine="560"/>
        <w:rPr>
          <w:rFonts w:hint="eastAsia" w:ascii="宋体" w:hAnsi="宋体" w:eastAsia="宋体" w:cs="宋体"/>
          <w:color w:val="auto"/>
          <w:sz w:val="24"/>
          <w:szCs w:val="24"/>
        </w:rPr>
      </w:pPr>
      <w:r>
        <w:rPr>
          <w:rFonts w:hint="eastAsia" w:ascii="宋体" w:hAnsi="宋体" w:eastAsia="宋体" w:cs="宋体"/>
          <w:color w:val="auto"/>
          <w:sz w:val="24"/>
          <w:szCs w:val="24"/>
        </w:rPr>
        <w:t>双层瓦楞纸箱长宽高为50*3</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cm，允许有1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2cm误差，纸箱净重</w:t>
      </w:r>
      <w:r>
        <w:rPr>
          <w:rFonts w:hint="eastAsia" w:ascii="宋体" w:hAnsi="宋体" w:eastAsia="宋体" w:cs="宋体"/>
          <w:color w:val="auto"/>
          <w:sz w:val="24"/>
          <w:szCs w:val="24"/>
          <w:lang w:val="en-US" w:eastAsia="zh-CN"/>
        </w:rPr>
        <w:t>850</w:t>
      </w:r>
      <w:r>
        <w:rPr>
          <w:rFonts w:hint="eastAsia" w:ascii="宋体" w:hAnsi="宋体" w:eastAsia="宋体" w:cs="宋体"/>
          <w:color w:val="auto"/>
          <w:sz w:val="24"/>
          <w:szCs w:val="24"/>
        </w:rPr>
        <w:t>g以上。</w:t>
      </w:r>
    </w:p>
    <w:p w14:paraId="5E0A027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right="0"/>
        <w:rPr>
          <w:rFonts w:hint="default" w:ascii="Helvetica" w:hAnsi="Helvetica" w:eastAsia="Helvetica" w:cs="Helvetica"/>
          <w:color w:val="auto"/>
          <w:sz w:val="24"/>
          <w:szCs w:val="24"/>
        </w:rPr>
      </w:pPr>
      <w:r>
        <w:rPr>
          <w:rFonts w:hint="eastAsia" w:ascii="宋体" w:hAnsi="宋体" w:eastAsia="宋体" w:cs="宋体"/>
          <w:color w:val="auto"/>
          <w:sz w:val="24"/>
          <w:szCs w:val="24"/>
        </w:rPr>
        <w:t>3.抽样及检验</w:t>
      </w:r>
    </w:p>
    <w:p w14:paraId="7C9388D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firstLine="560"/>
        <w:rPr>
          <w:rFonts w:hint="default" w:ascii="Helvetica" w:hAnsi="Helvetica" w:eastAsia="Helvetica" w:cs="Helvetica"/>
          <w:color w:val="auto"/>
          <w:sz w:val="24"/>
          <w:szCs w:val="24"/>
        </w:rPr>
      </w:pPr>
      <w:r>
        <w:rPr>
          <w:rFonts w:hint="eastAsia" w:ascii="宋体" w:hAnsi="宋体" w:eastAsia="宋体" w:cs="宋体"/>
          <w:color w:val="auto"/>
          <w:sz w:val="24"/>
          <w:szCs w:val="24"/>
        </w:rPr>
        <w:t>如需对包装物进行检验，由第三方质量检验机构将抽检的纸箱进行检验。纸箱的净重使用</w:t>
      </w:r>
      <w:r>
        <w:rPr>
          <w:rFonts w:hint="eastAsia" w:ascii="宋体" w:hAnsi="宋体" w:eastAsia="宋体" w:cs="宋体"/>
          <w:color w:val="auto"/>
          <w:sz w:val="24"/>
          <w:szCs w:val="24"/>
          <w:lang w:eastAsia="zh-CN"/>
        </w:rPr>
        <w:t>耘上数商</w:t>
      </w:r>
      <w:r>
        <w:rPr>
          <w:rFonts w:hint="eastAsia" w:ascii="宋体" w:hAnsi="宋体" w:eastAsia="宋体" w:cs="宋体"/>
          <w:color w:val="auto"/>
          <w:sz w:val="24"/>
          <w:szCs w:val="24"/>
        </w:rPr>
        <w:t>认可的仪器进行称重检验。</w:t>
      </w:r>
    </w:p>
    <w:p w14:paraId="13F397E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4.纸箱更换</w:t>
      </w:r>
    </w:p>
    <w:p w14:paraId="542C15F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firstLine="560"/>
        <w:rPr>
          <w:rFonts w:hint="default" w:ascii="Helvetica" w:hAnsi="Helvetica" w:eastAsia="Helvetica" w:cs="Helvetica"/>
          <w:color w:val="auto"/>
          <w:sz w:val="24"/>
          <w:szCs w:val="24"/>
        </w:rPr>
      </w:pPr>
      <w:r>
        <w:rPr>
          <w:rFonts w:hint="eastAsia" w:ascii="宋体" w:hAnsi="宋体" w:eastAsia="宋体" w:cs="宋体"/>
          <w:color w:val="auto"/>
          <w:sz w:val="24"/>
          <w:szCs w:val="24"/>
        </w:rPr>
        <w:t>若有不符合要求的纸箱，由卖方</w:t>
      </w:r>
      <w:r>
        <w:rPr>
          <w:rFonts w:hint="eastAsia" w:ascii="宋体" w:hAnsi="宋体" w:eastAsia="宋体" w:cs="宋体"/>
          <w:color w:val="auto"/>
          <w:sz w:val="24"/>
          <w:szCs w:val="24"/>
          <w:lang w:val="en-US" w:eastAsia="zh-CN"/>
        </w:rPr>
        <w:t>客</w:t>
      </w:r>
      <w:r>
        <w:rPr>
          <w:rFonts w:hint="eastAsia" w:ascii="宋体" w:hAnsi="宋体" w:eastAsia="宋体" w:cs="宋体"/>
          <w:color w:val="auto"/>
          <w:sz w:val="24"/>
          <w:szCs w:val="24"/>
        </w:rPr>
        <w:t>商进行现场调换。</w:t>
      </w:r>
    </w:p>
    <w:p w14:paraId="0D478BF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uto"/>
        <w:ind w:left="0" w:right="0"/>
        <w:rPr>
          <w:rFonts w:hint="default" w:ascii="黑体" w:hAnsi="黑体" w:eastAsia="黑体" w:cstheme="minorEastAsia"/>
          <w:b/>
          <w:bCs/>
          <w:color w:val="auto"/>
          <w:kern w:val="0"/>
          <w:sz w:val="28"/>
          <w:szCs w:val="28"/>
          <w:lang w:val="en-US" w:eastAsia="zh-CN" w:bidi="ar-SA"/>
        </w:rPr>
      </w:pPr>
      <w:r>
        <w:rPr>
          <w:rFonts w:hint="eastAsia" w:ascii="黑体" w:hAnsi="黑体" w:eastAsia="黑体" w:cstheme="minorEastAsia"/>
          <w:b/>
          <w:bCs/>
          <w:color w:val="auto"/>
          <w:kern w:val="0"/>
          <w:sz w:val="28"/>
          <w:szCs w:val="28"/>
          <w:lang w:val="en-US" w:eastAsia="zh-CN" w:bidi="ar-SA"/>
        </w:rPr>
        <w:t>五、附加说明</w:t>
      </w:r>
    </w:p>
    <w:p w14:paraId="327B3F6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right="0" w:firstLine="480" w:firstLineChars="200"/>
        <w:rPr>
          <w:rFonts w:hint="eastAsia" w:ascii="Helvetica" w:hAnsi="Helvetica" w:eastAsia="Helvetica" w:cs="Helvetica"/>
          <w:color w:val="auto"/>
          <w:sz w:val="24"/>
          <w:szCs w:val="24"/>
          <w:lang w:val="en-US" w:eastAsia="zh-CN"/>
        </w:rPr>
      </w:pPr>
      <w:r>
        <w:rPr>
          <w:rFonts w:hint="eastAsia" w:ascii="Helvetica" w:hAnsi="Helvetica" w:eastAsia="Helvetica" w:cs="Helvetica"/>
          <w:color w:val="auto"/>
          <w:sz w:val="24"/>
          <w:szCs w:val="24"/>
          <w:lang w:val="en-US" w:eastAsia="zh-CN"/>
        </w:rPr>
        <w:t>本说明构成耘上数商《订单配货业务协议》附录之一。</w:t>
      </w:r>
    </w:p>
    <w:p w14:paraId="1DFA1B8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firstLine="480" w:firstLineChars="200"/>
        <w:rPr>
          <w:rFonts w:hint="default" w:ascii="Helvetica" w:hAnsi="Helvetica" w:eastAsia="Helvetica" w:cs="Helvetica"/>
          <w:color w:val="auto"/>
          <w:sz w:val="24"/>
          <w:szCs w:val="24"/>
        </w:rPr>
      </w:pPr>
      <w:r>
        <w:rPr>
          <w:rFonts w:hint="eastAsia" w:ascii="Helvetica" w:hAnsi="Helvetica" w:eastAsia="Helvetica" w:cs="Helvetica"/>
          <w:color w:val="auto"/>
          <w:sz w:val="24"/>
          <w:szCs w:val="24"/>
        </w:rPr>
        <w:t>本</w:t>
      </w:r>
      <w:r>
        <w:rPr>
          <w:rFonts w:hint="eastAsia" w:ascii="Helvetica" w:hAnsi="Helvetica" w:eastAsia="宋体" w:cs="Helvetica"/>
          <w:color w:val="auto"/>
          <w:sz w:val="24"/>
          <w:szCs w:val="24"/>
          <w:lang w:val="en-US" w:eastAsia="zh-CN"/>
        </w:rPr>
        <w:t>说明</w:t>
      </w:r>
      <w:r>
        <w:rPr>
          <w:rFonts w:hint="eastAsia" w:ascii="Helvetica" w:hAnsi="Helvetica" w:eastAsia="Helvetica" w:cs="Helvetica"/>
          <w:color w:val="auto"/>
          <w:sz w:val="24"/>
          <w:szCs w:val="24"/>
        </w:rPr>
        <w:t>解释权和修订权属于</w:t>
      </w:r>
      <w:r>
        <w:rPr>
          <w:rFonts w:hint="eastAsia" w:ascii="Helvetica" w:hAnsi="Helvetica" w:eastAsia="Helvetica" w:cs="Helvetica"/>
          <w:color w:val="auto"/>
          <w:sz w:val="24"/>
          <w:szCs w:val="24"/>
          <w:lang w:val="en-US" w:eastAsia="zh-CN"/>
        </w:rPr>
        <w:t>耘上数商</w:t>
      </w:r>
      <w:r>
        <w:rPr>
          <w:rFonts w:hint="eastAsia" w:ascii="Helvetica" w:hAnsi="Helvetica" w:eastAsia="Helvetica" w:cs="Helvetica"/>
          <w:color w:val="auto"/>
          <w:sz w:val="24"/>
          <w:szCs w:val="24"/>
        </w:rPr>
        <w:t>。</w:t>
      </w:r>
    </w:p>
    <w:p w14:paraId="2795058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firstLine="560"/>
        <w:jc w:val="righ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河南粮投数字商务有限公司</w:t>
      </w:r>
    </w:p>
    <w:p w14:paraId="21F1BF9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firstLine="560"/>
        <w:jc w:val="right"/>
        <w:rPr>
          <w:color w:val="auto"/>
        </w:rPr>
      </w:pPr>
      <w:r>
        <w:rPr>
          <w:rFonts w:hint="default" w:ascii="Helvetica" w:hAnsi="Helvetica" w:eastAsia="Helvetica" w:cs="Helvetica"/>
          <w:color w:val="auto"/>
          <w:sz w:val="24"/>
          <w:szCs w:val="24"/>
        </w:rPr>
        <w:t>202</w:t>
      </w:r>
      <w:r>
        <w:rPr>
          <w:rFonts w:hint="eastAsia" w:ascii="Helvetica" w:hAnsi="Helvetica" w:eastAsia="宋体" w:cs="Helvetica"/>
          <w:color w:val="auto"/>
          <w:sz w:val="24"/>
          <w:szCs w:val="24"/>
          <w:lang w:val="en-US" w:eastAsia="zh-CN"/>
        </w:rPr>
        <w:t>6</w:t>
      </w:r>
      <w:r>
        <w:rPr>
          <w:rFonts w:hint="default" w:ascii="Helvetica" w:hAnsi="Helvetica" w:eastAsia="Helvetica" w:cs="Helvetica"/>
          <w:color w:val="auto"/>
          <w:sz w:val="24"/>
          <w:szCs w:val="24"/>
        </w:rPr>
        <w:t>年</w:t>
      </w:r>
      <w:r>
        <w:rPr>
          <w:rFonts w:hint="eastAsia" w:ascii="Helvetica" w:hAnsi="Helvetica" w:eastAsia="宋体" w:cs="Helvetica"/>
          <w:color w:val="auto"/>
          <w:sz w:val="24"/>
          <w:szCs w:val="24"/>
          <w:lang w:val="en-US" w:eastAsia="zh-CN"/>
        </w:rPr>
        <w:t>3</w:t>
      </w:r>
      <w:r>
        <w:rPr>
          <w:rFonts w:hint="default" w:ascii="Helvetica" w:hAnsi="Helvetica" w:eastAsia="Helvetica" w:cs="Helvetica"/>
          <w:color w:val="auto"/>
          <w:sz w:val="24"/>
          <w:szCs w:val="24"/>
        </w:rPr>
        <w:t>月</w:t>
      </w:r>
      <w:r>
        <w:rPr>
          <w:rFonts w:hint="eastAsia" w:ascii="Helvetica" w:hAnsi="Helvetica" w:eastAsia="宋体" w:cs="Helvetica"/>
          <w:color w:val="auto"/>
          <w:sz w:val="24"/>
          <w:szCs w:val="24"/>
          <w:lang w:val="en-US" w:eastAsia="zh-CN"/>
        </w:rPr>
        <w:t>3</w:t>
      </w:r>
      <w:r>
        <w:rPr>
          <w:rFonts w:hint="default" w:ascii="Helvetica" w:hAnsi="Helvetica" w:eastAsia="Helvetica" w:cs="Helvetica"/>
          <w:color w:val="auto"/>
          <w:sz w:val="24"/>
          <w:szCs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auto"/>
    <w:pitch w:val="default"/>
    <w:sig w:usb0="00000283" w:usb1="288F0000" w:usb2="0000000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KSOF7FC4CF2A">
    <w:panose1 w:val="020B0604020202020204"/>
    <w:charset w:val="00"/>
    <w:family w:val="auto"/>
    <w:pitch w:val="default"/>
    <w:sig w:usb0="00000001"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lNDY3ZWMwYzEzMDRhYTJlNDFmMTlkYzAzYzNmMzUifQ=="/>
  </w:docVars>
  <w:rsids>
    <w:rsidRoot w:val="12985208"/>
    <w:rsid w:val="018D7D3C"/>
    <w:rsid w:val="07FA5636"/>
    <w:rsid w:val="087370B9"/>
    <w:rsid w:val="08B0518A"/>
    <w:rsid w:val="091C14FF"/>
    <w:rsid w:val="0AFF2E86"/>
    <w:rsid w:val="0E603C3C"/>
    <w:rsid w:val="10451A9C"/>
    <w:rsid w:val="11112571"/>
    <w:rsid w:val="11CB38E3"/>
    <w:rsid w:val="12531521"/>
    <w:rsid w:val="127B2EAB"/>
    <w:rsid w:val="12985208"/>
    <w:rsid w:val="14535080"/>
    <w:rsid w:val="149B5AA6"/>
    <w:rsid w:val="15323E58"/>
    <w:rsid w:val="165119C7"/>
    <w:rsid w:val="169A3C25"/>
    <w:rsid w:val="17E1018C"/>
    <w:rsid w:val="1C7A3A3B"/>
    <w:rsid w:val="1F673211"/>
    <w:rsid w:val="227D36CE"/>
    <w:rsid w:val="25B740E7"/>
    <w:rsid w:val="2663409A"/>
    <w:rsid w:val="2A5204DC"/>
    <w:rsid w:val="2B0F1CB0"/>
    <w:rsid w:val="2B1B72C9"/>
    <w:rsid w:val="2C0A1682"/>
    <w:rsid w:val="2E2C36E3"/>
    <w:rsid w:val="2E5E0013"/>
    <w:rsid w:val="2F6D4FB7"/>
    <w:rsid w:val="30A80D9B"/>
    <w:rsid w:val="316F7DFE"/>
    <w:rsid w:val="366E3BE0"/>
    <w:rsid w:val="3A3F02FA"/>
    <w:rsid w:val="3E5F1606"/>
    <w:rsid w:val="4142704D"/>
    <w:rsid w:val="41445EFA"/>
    <w:rsid w:val="42A15FF5"/>
    <w:rsid w:val="43572B58"/>
    <w:rsid w:val="43BB30E7"/>
    <w:rsid w:val="440C56F0"/>
    <w:rsid w:val="47242DD9"/>
    <w:rsid w:val="47A10846"/>
    <w:rsid w:val="484A4A39"/>
    <w:rsid w:val="4878407A"/>
    <w:rsid w:val="491102ED"/>
    <w:rsid w:val="49A37891"/>
    <w:rsid w:val="4E123059"/>
    <w:rsid w:val="4E970F6C"/>
    <w:rsid w:val="4FF736F9"/>
    <w:rsid w:val="50235A38"/>
    <w:rsid w:val="5406215C"/>
    <w:rsid w:val="54EC0ADA"/>
    <w:rsid w:val="550965EC"/>
    <w:rsid w:val="55620BB0"/>
    <w:rsid w:val="598F49A2"/>
    <w:rsid w:val="5F68267E"/>
    <w:rsid w:val="5FEF1AA4"/>
    <w:rsid w:val="61E37639"/>
    <w:rsid w:val="66FA6F7F"/>
    <w:rsid w:val="69064C5E"/>
    <w:rsid w:val="69821E2D"/>
    <w:rsid w:val="6A8B2F63"/>
    <w:rsid w:val="6BFB5EC7"/>
    <w:rsid w:val="6CE34991"/>
    <w:rsid w:val="6E165412"/>
    <w:rsid w:val="707D334E"/>
    <w:rsid w:val="7235555B"/>
    <w:rsid w:val="77C96E79"/>
    <w:rsid w:val="79DE46D7"/>
    <w:rsid w:val="7AB219A2"/>
    <w:rsid w:val="7BE91105"/>
    <w:rsid w:val="7D7E6BE3"/>
    <w:rsid w:val="7E4055B0"/>
    <w:rsid w:val="7F637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autoRedefine/>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694ffce9-f774-43e0-8c3d-874dca31a003</errorID>
      <errorWord>(</errorWord>
      <group>L1_Format</group>
      <groupName>格式问题</groupName>
      <ability>L2_HalfPunc</ability>
      <abilityName>全半角检查</abilityName>
      <candidateList>
        <item>（</item>
      </candidateList>
      <explain>文本全半角错误。</explain>
      <paraID>1615B2FE</paraID>
      <start>2</start>
      <end>3</end>
      <status>unmodified</status>
      <modifiedWord/>
      <trackRevisions>false</trackRevisions>
    </reviewItem>
    <reviewItem>
      <errorID>53e9ddb6-bab0-4228-827e-8769c701613b</errorID>
      <errorWord>)</errorWord>
      <group>L1_Format</group>
      <groupName>格式问题</groupName>
      <ability>L2_HalfPunc</ability>
      <abilityName>全半角检查</abilityName>
      <candidateList>
        <item>）</item>
      </candidateList>
      <explain>文本全半角错误。</explain>
      <paraID>1615B2FE</paraID>
      <start>5</start>
      <end>6</end>
      <status>unmodified</status>
      <modifiedWord/>
      <trackRevisions>false</trackRevisions>
    </reviewItem>
    <reviewItem>
      <errorID>a15b3ef3-7095-4d47-a6a0-f5bf588459b1</errorID>
      <errorWord>(</errorWord>
      <group>L1_Format</group>
      <groupName>格式问题</groupName>
      <ability>L2_HalfPunc</ability>
      <abilityName>全半角检查</abilityName>
      <candidateList>
        <item>（</item>
      </candidateList>
      <explain>文本全半角错误。</explain>
      <paraID>1E1BAD27</paraID>
      <start>1</start>
      <end>2</end>
      <status>unmodified</status>
      <modifiedWord/>
      <trackRevisions>false</trackRevisions>
    </reviewItem>
    <reviewItem>
      <errorID>61108894-39a7-426e-9174-3c9691ee7198</errorID>
      <errorWord>)</errorWord>
      <group>L1_Format</group>
      <groupName>格式问题</groupName>
      <ability>L2_HalfPunc</ability>
      <abilityName>全半角检查</abilityName>
      <candidateList>
        <item>）</item>
      </candidateList>
      <explain>文本全半角错误。</explain>
      <paraID>1E1BAD27</paraID>
      <start>8</start>
      <end>9</end>
      <status>unmodified</status>
      <modifiedWord/>
      <trackRevisions>false</trackRevisions>
    </reviewItem>
    <reviewItem>
      <errorID>c50f3179-f5bc-4e64-89a2-4e97aa54f132</errorID>
      <errorWord>(</errorWord>
      <group>L1_Format</group>
      <groupName>格式问题</groupName>
      <ability>L2_HalfPunc</ability>
      <abilityName>全半角检查</abilityName>
      <candidateList>
        <item>（</item>
      </candidateList>
      <explain>文本全半角错误。</explain>
      <paraID>1E1BAD27</paraID>
      <start>11</start>
      <end>12</end>
      <status>unmodified</status>
      <modifiedWord/>
      <trackRevisions>false</trackRevisions>
    </reviewItem>
    <reviewItem>
      <errorID>2f73c2f2-60a0-41d7-8e54-4153458d6e50</errorID>
      <errorWord>)</errorWord>
      <group>L1_Format</group>
      <groupName>格式问题</groupName>
      <ability>L2_HalfPunc</ability>
      <abilityName>全半角检查</abilityName>
      <candidateList>
        <item>）</item>
      </candidateList>
      <explain>文本全半角错误。</explain>
      <paraID>1E1BAD27</paraID>
      <start>15</start>
      <end>16</end>
      <status>unmodified</status>
      <modifiedWord/>
      <trackRevisions>false</trackRevisions>
    </reviewItem>
    <reviewItem>
      <errorID/>
      <errorWord>详见官网公告）
</errorWord>
      <group>L1_Other</group>
      <groupName>其他问题</groupName>
      <ability>L2_RepeatSentence</ability>
      <abilityName>重句检查</abilityName>
      <candidateList>
        <item/>
      </candidateList>
      <explain>重句检查</explain>
      <paraID>340BAF94</paraID>
      <start>0</start>
      <end>8</end>
      <status>unmodified</status>
      <modifiedWord/>
      <trackRevisions>false</trackRevisions>
    </reviewItem>
    <reviewItem>
      <errorID>5fc20a57-967d-4f0c-97d3-df9763feacbc</errorID>
      <errorWord>(</errorWord>
      <group>L1_Format</group>
      <groupName>格式问题</groupName>
      <ability>L2_HalfPunc</ability>
      <abilityName>全半角检查</abilityName>
      <candidateList>
        <item>（</item>
      </candidateList>
      <explain>文本全半角错误。</explain>
      <paraID>2DAE567A</paraID>
      <start>0</start>
      <end>1</end>
      <status>unmodified</status>
      <modifiedWord/>
      <trackRevisions>false</trackRevisions>
    </reviewItem>
    <reviewItem>
      <errorID>3cea3d5e-b0d9-414f-9bc9-604f99ac686a</errorID>
      <errorWord>)</errorWord>
      <group>L1_Format</group>
      <groupName>格式问题</groupName>
      <ability>L2_HalfPunc</ability>
      <abilityName>全半角检查</abilityName>
      <candidateList>
        <item>）</item>
      </candidateList>
      <explain>文本全半角错误。</explain>
      <paraID>2DAE567A</paraID>
      <start>19</start>
      <end>20</end>
      <status>unmodified</status>
      <modifiedWord/>
      <trackRevisions>false</trackRevisions>
    </reviewItem>
    <reviewItem>
      <errorID/>
      <errorWord>详见官网公告）
</errorWord>
      <group>L1_Other</group>
      <groupName>其他问题</groupName>
      <ability>L2_RepeatSentence</ability>
      <abilityName>重句检查</abilityName>
      <candidateList>
        <item/>
      </candidateList>
      <explain>重句检查</explain>
      <paraID>6D2EE6DC</paraID>
      <start>44</start>
      <end>52</end>
      <status>unmodified</status>
      <modifiedWord/>
      <trackRevisions>false</trackRevisions>
    </reviewItem>
    <reviewItem>
      <errorID>c143a6c4-42ab-4e95-ab7e-71c50fc25132</errorID>
      <errorWord>(</errorWord>
      <group>L1_Format</group>
      <groupName>格式问题</groupName>
      <ability>L2_HalfPunc</ability>
      <abilityName>全半角检查</abilityName>
      <candidateList>
        <item>（</item>
      </candidateList>
      <explain>文本全半角错误。</explain>
      <paraID>62FCC25A</paraID>
      <start>0</start>
      <end>1</end>
      <status>unmodified</status>
      <modifiedWord/>
      <trackRevisions>false</trackRevisions>
    </reviewItem>
    <reviewItem>
      <errorID>adf41597-5c1f-44ba-a58d-622427d3d5bd</errorID>
      <errorWord>(</errorWord>
      <group>L1_Format</group>
      <groupName>格式问题</groupName>
      <ability>L2_HalfPunc</ability>
      <abilityName>全半角检查</abilityName>
      <candidateList>
        <item>（</item>
      </candidateList>
      <explain>文本全半角错误。</explain>
      <paraID> 9C0B755</paraID>
      <start>10</start>
      <end>11</end>
      <status>unmodified</status>
      <modifiedWord/>
      <trackRevisions>false</trackRevisions>
    </reviewItem>
    <reviewItem>
      <errorID>d46311b1-fb80-4f8c-84eb-6c4a9a1bde53</errorID>
      <errorWord>)</errorWord>
      <group>L1_Format</group>
      <groupName>格式问题</groupName>
      <ability>L2_HalfPunc</ability>
      <abilityName>全半角检查</abilityName>
      <candidateList>
        <item>）</item>
      </candidateList>
      <explain>文本全半角错误。</explain>
      <paraID> 9C0B755</paraID>
      <start>16</start>
      <end>17</end>
      <status>unmodified</status>
      <modifiedWord/>
      <trackRevisions>false</trackRevisions>
    </reviewItem>
    <reviewItem>
      <errorID>d18c0369-0cd1-421f-a454-2c23e0fd9d98</errorID>
      <errorWord>(</errorWord>
      <group>L1_Format</group>
      <groupName>格式问题</groupName>
      <ability>L2_HalfPunc</ability>
      <abilityName>全半角检查</abilityName>
      <candidateList>
        <item>（</item>
      </candidateList>
      <explain>文本全半角错误。</explain>
      <paraID>4D73A8C0</paraID>
      <start>10</start>
      <end>11</end>
      <status>unmodified</status>
      <modifiedWord/>
      <trackRevisions>false</trackRevisions>
    </reviewItem>
    <reviewItem>
      <errorID>920f5780-db12-48ac-9be8-7e6834845040</errorID>
      <errorWord>)</errorWord>
      <group>L1_Format</group>
      <groupName>格式问题</groupName>
      <ability>L2_HalfPunc</ability>
      <abilityName>全半角检查</abilityName>
      <candidateList>
        <item>）</item>
      </candidateList>
      <explain>文本全半角错误。</explain>
      <paraID>4D73A8C0</paraID>
      <start>22</start>
      <end>23</end>
      <status>unmodified</status>
      <modifiedWord/>
      <trackRevisions>false</trackRevisions>
    </reviewItem>
    <reviewItem>
      <errorID>30df8433-c328-4331-b6d3-9f1ad4282a63</errorID>
      <errorWord>)</errorWord>
      <group>L1_Format</group>
      <groupName>格式问题</groupName>
      <ability>L2_HalfPunc</ability>
      <abilityName>全半角检查</abilityName>
      <candidateList>
        <item>）</item>
      </candidateList>
      <explain>文本全半角错误。</explain>
      <paraID>20C3CA6C</paraID>
      <start>16</start>
      <end>17</end>
      <status>unmodified</status>
      <modifiedWord/>
      <trackRevisions>false</trackRevisions>
    </reviewItem>
    <reviewItem>
      <errorID>b74c0d80-1715-4f6d-be64-d818c7834894</errorID>
      <errorWord>(</errorWord>
      <group>L1_Format</group>
      <groupName>格式问题</groupName>
      <ability>L2_HalfPunc</ability>
      <abilityName>全半角检查</abilityName>
      <candidateList>
        <item>（</item>
      </candidateList>
      <explain>文本全半角错误。</explain>
      <paraID>5815DC1E</paraID>
      <start>6</start>
      <end>7</end>
      <status>unmodified</status>
      <modifiedWord/>
      <trackRevisions>false</trackRevisions>
    </reviewItem>
    <reviewItem>
      <errorID>602d5030-0e83-41cf-94f5-0b6a77081e29</errorID>
      <errorWord>)</errorWord>
      <group>L1_Format</group>
      <groupName>格式问题</groupName>
      <ability>L2_HalfPunc</ability>
      <abilityName>全半角检查</abilityName>
      <candidateList>
        <item>）</item>
      </candidateList>
      <explain>文本全半角错误。</explain>
      <paraID>5815DC1E</paraID>
      <start>11</start>
      <end>12</end>
      <status>unmodified</status>
      <modifiedWord/>
      <trackRevisions>false</trackRevisions>
    </reviewItem>
    <reviewItem>
      <errorID>708b7952-0e26-4871-8c09-f30d6a1844bb</errorID>
      <errorWord>订金</errorWord>
      <group>L1_Word</group>
      <groupName>字词问题</groupName>
      <ability>L2_Typo</ability>
      <abilityName>字词错误</abilityName>
      <candidateList>
        <item>定金</item>
      </candidateList>
      <explain>存在发音相同字词的误用。</explain>
      <paraID>6A5888BA</paraID>
      <start>2</start>
      <end>4</end>
      <status>unmodified</status>
      <modifiedWord/>
      <trackRevisions>false</trackRevisions>
    </reviewItem>
    <reviewItem>
      <errorID>22343475-fee3-44e3-b7cc-5d59203174b3</errorID>
      <errorWord>&lt;</errorWord>
      <group>L1_Format</group>
      <groupName>格式问题</groupName>
      <ability>L2_HalfPunc</ability>
      <abilityName>全半角检查</abilityName>
      <candidateList>
        <item>〈</item>
      </candidateList>
      <explain>文本全半角错误。</explain>
      <paraID>30FD81DE</paraID>
      <start>2</start>
      <end>3</end>
      <status>unmodified</status>
      <modifiedWord/>
      <trackRevisions>false</trackRevisions>
    </reviewItem>
    <reviewItem>
      <errorID/>
      <errorWord>河南粮投数字商务有限公司
</errorWord>
      <group>L1_Other</group>
      <groupName>其他问题</groupName>
      <ability>L2_RepeatSentence</ability>
      <abilityName>重句检查</abilityName>
      <candidateList>
        <item/>
      </candidateList>
      <explain>重句检查</explain>
      <paraID>41CF79A6</paraID>
      <start>0</start>
      <end>13</end>
      <status>unmodified</status>
      <modifiedWord/>
      <trackRevisions>false</trackRevisions>
    </reviewItem>
    <reviewItem>
      <errorID>ec4a831f-002e-4136-ab90-cdf3e410302d</errorID>
      <errorWord>)</errorWord>
      <group>L1_Format</group>
      <groupName>格式问题</groupName>
      <ability>L2_HalfPunc</ability>
      <abilityName>全半角检查</abilityName>
      <candidateList>
        <item>）</item>
      </candidateList>
      <explain>文本全半角错误。</explain>
      <paraID>1A7E7613</paraID>
      <start>47</start>
      <end>48</end>
      <status>unmodified</status>
      <modifiedWord/>
      <trackRevisions>false</trackRevisions>
    </reviewItem>
    <reviewItem>
      <errorID>b0654b6f-0fb6-45b8-83ab-724b37dc5e19</errorID>
      <errorWord>(</errorWord>
      <group>L1_Format</group>
      <groupName>格式问题</groupName>
      <ability>L2_HalfPunc</ability>
      <abilityName>全半角检查</abilityName>
      <candidateList>
        <item>（</item>
      </candidateList>
      <explain>文本全半角错误。</explain>
      <paraID> 4022C52</paraID>
      <start>4</start>
      <end>5</end>
      <status>unmodified</status>
      <modifiedWord/>
      <trackRevisions>false</trackRevisions>
    </reviewItem>
    <reviewItem>
      <errorID>26d6804d-08f4-4a5c-9df1-f3e06849ef53</errorID>
      <errorWord>)</errorWord>
      <group>L1_Format</group>
      <groupName>格式问题</groupName>
      <ability>L2_HalfPunc</ability>
      <abilityName>全半角检查</abilityName>
      <candidateList>
        <item>）</item>
      </candidateList>
      <explain>文本全半角错误。</explain>
      <paraID> 4022C52</paraID>
      <start>12</start>
      <end>13</end>
      <status>unmodified</status>
      <modifiedWord/>
      <trackRevisions>false</trackRevisions>
    </reviewItem>
    <reviewItem>
      <errorID>178a5056-fb41-4f18-b5c9-573f2a13ce4e</errorID>
      <errorWord>(</errorWord>
      <group>L1_Format</group>
      <groupName>格式问题</groupName>
      <ability>L2_HalfPunc</ability>
      <abilityName>全半角检查</abilityName>
      <candidateList>
        <item>（</item>
      </candidateList>
      <explain>文本全半角错误。</explain>
      <paraID> E9D4BDD</paraID>
      <start>2</start>
      <end>3</end>
      <status>unmodified</status>
      <modifiedWord/>
      <trackRevisions>false</trackRevisions>
    </reviewItem>
    <reviewItem>
      <errorID>9995069d-eb59-477f-9231-884fad8b23a4</errorID>
      <errorWord>)</errorWord>
      <group>L1_Format</group>
      <groupName>格式问题</groupName>
      <ability>L2_HalfPunc</ability>
      <abilityName>全半角检查</abilityName>
      <candidateList>
        <item>）</item>
      </candidateList>
      <explain>文本全半角错误。</explain>
      <paraID> E9D4BDD</paraID>
      <start>5</start>
      <end>6</end>
      <status>unmodified</status>
      <modifiedWord/>
      <trackRevisions>false</trackRevisions>
    </reviewItem>
    <reviewItem>
      <errorID/>
      <errorWord>每批次黄姜中，</errorWord>
      <group>L1_Other</group>
      <groupName>其他问题</groupName>
      <ability>L2_RepeatSentence</ability>
      <abilityName>重句检查</abilityName>
      <candidateList>
        <item/>
      </candidateList>
      <explain>重句检查</explain>
      <paraID>4A81E064</paraID>
      <start>2</start>
      <end>9</end>
      <status>unmodified</status>
      <modifiedWord/>
      <trackRevisions>false</trackRevisions>
    </reviewItem>
    <reviewItem>
      <errorID/>
      <errorWord>整块单重100g以下占比不超过10.</errorWord>
      <group>L1_Other</group>
      <groupName>其他问题</groupName>
      <ability>L2_RepeatSentence</ability>
      <abilityName>重句检查</abilityName>
      <candidateList>
        <item/>
      </candidateList>
      <explain>重句检查</explain>
      <paraID>4A81E064</paraID>
      <start>9</start>
      <end>27</end>
      <status>unmodified</status>
      <modifiedWord/>
      <trackRevisions>false</trackRevisions>
    </reviewItem>
    <reviewItem>
      <errorID/>
      <errorWord>精确到小数点后两位。</errorWord>
      <group>L1_Other</group>
      <groupName>其他问题</groupName>
      <ability>L2_RepeatSentence</ability>
      <abilityName>重句检查</abilityName>
      <candidateList>
        <item/>
      </candidateList>
      <explain>重句检查</explain>
      <paraID>3BC65E82</paraID>
      <start>43</start>
      <end>53</end>
      <status>unmodified</status>
      <modifiedWord/>
      <trackRevisions>false</trackRevisions>
    </reviewItem>
    <reviewItem>
      <errorID>5c1dc6fa-18b9-4e82-afab-81f911cfef5a</errorID>
      <errorWord>超</errorWord>
      <group>L1_Word</group>
      <groupName>字词问题</groupName>
      <ability>L2_Typo</ability>
      <abilityName>字词错误</abilityName>
      <candidateList>
        <item>超过</item>
      </candidateList>
      <explain/>
      <paraID>79C3FE65</paraID>
      <start>57</start>
      <end>58</end>
      <status>unmodified</status>
      <modifiedWord/>
      <trackRevisions>false</trackRevisions>
    </reviewItem>
    <reviewItem>
      <errorID/>
      <errorWord>河南粮投数字商务有限公司
</errorWord>
      <group>L1_Other</group>
      <groupName>其他问题</groupName>
      <ability>L2_RepeatSentence</ability>
      <abilityName>重句检查</abilityName>
      <candidateList>
        <item/>
      </candidateList>
      <explain>重句检查</explain>
      <paraID>152B6244</paraID>
      <start>0</start>
      <end>13</end>
      <status>unmodified</status>
      <modifiedWord/>
      <trackRevisions>false</trackRevisions>
    </reviewItem>
  </reviewItems>
  <config/>
</contractReview>
</file>

<file path=customXml/itemProps1.xml><?xml version="1.0" encoding="utf-8"?>
<ds:datastoreItem xmlns:ds="http://schemas.openxmlformats.org/officeDocument/2006/customXml" ds:itemID="{4e2d6df7-1785-4ab6-a8a4-1bf8091ba79b}">
  <ds:schemaRefs/>
</ds:datastoreItem>
</file>

<file path=docProps/app.xml><?xml version="1.0" encoding="utf-8"?>
<Properties xmlns="http://schemas.openxmlformats.org/officeDocument/2006/extended-properties" xmlns:vt="http://schemas.openxmlformats.org/officeDocument/2006/docPropsVTypes">
  <Template>Normal.dotm</Template>
  <Pages>6</Pages>
  <Words>703</Words>
  <Characters>834</Characters>
  <Lines>0</Lines>
  <Paragraphs>0</Paragraphs>
  <TotalTime>38</TotalTime>
  <ScaleCrop>false</ScaleCrop>
  <LinksUpToDate>false</LinksUpToDate>
  <CharactersWithSpaces>835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2024-03-27T01:21:00Z</dcterms:created>
  <dc:creator>路</dc:creator>
  <cp:lastModifiedBy>婷</cp:lastModifiedBy>
  <dcterms:modified xsi:type="dcterms:W3CDTF">2026-03-03T12:35:38Z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4B0ADBF469AC4953A841F09B1A1B4A87_13</vt:lpwstr>
  </property>
  <property fmtid="{D5CDD505-2E9C-101B-9397-08002B2CF9AE}" pid="4" name="KSOTemplateDocerSaveRecord">
    <vt:lpwstr>eyJoZGlkIjoiYTdiYzA0ZjA1ZWFmNDcyZDJmODE3YjZhZGIyODU0MDMiLCJ1c2VySWQiOiI0MTc2Njg5MzIifQ==</vt:lpwstr>
  </property>
</Properties>
</file>