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耘上数商黄姜（泥姜）2704分级分时专区</w:t>
      </w:r>
    </w:p>
    <w:p w14:paraId="1E732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7"/>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w:t>
            </w:r>
            <w:r>
              <w:rPr>
                <w:rFonts w:hint="eastAsia" w:ascii="仿宋" w:hAnsi="仿宋" w:eastAsia="仿宋" w:cs="仿宋"/>
                <w:color w:val="auto"/>
                <w:sz w:val="24"/>
                <w:szCs w:val="24"/>
              </w:rPr>
              <w:t>姜(泥姜)2</w:t>
            </w:r>
            <w:r>
              <w:rPr>
                <w:rFonts w:hint="eastAsia" w:ascii="仿宋" w:hAnsi="仿宋" w:eastAsia="仿宋" w:cs="仿宋"/>
                <w:color w:val="auto"/>
                <w:sz w:val="24"/>
                <w:szCs w:val="24"/>
                <w:lang w:val="en-US" w:eastAsia="zh-CN"/>
              </w:rPr>
              <w:t>704</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H</w:t>
            </w:r>
            <w:r>
              <w:rPr>
                <w:rFonts w:hint="eastAsia" w:ascii="仿宋" w:hAnsi="仿宋" w:eastAsia="仿宋" w:cs="仿宋"/>
                <w:color w:val="auto"/>
                <w:sz w:val="24"/>
                <w:szCs w:val="24"/>
              </w:rPr>
              <w:t>J2</w:t>
            </w:r>
            <w:r>
              <w:rPr>
                <w:rFonts w:hint="eastAsia" w:ascii="仿宋" w:hAnsi="仿宋" w:eastAsia="仿宋" w:cs="仿宋"/>
                <w:color w:val="auto"/>
                <w:sz w:val="24"/>
                <w:szCs w:val="24"/>
                <w:lang w:val="en-US" w:eastAsia="zh-CN"/>
              </w:rPr>
              <w:t>704</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1吨/</w:t>
            </w:r>
            <w:r>
              <w:rPr>
                <w:rFonts w:hint="eastAsia" w:ascii="仿宋" w:hAnsi="仿宋" w:eastAsia="仿宋" w:cs="仿宋"/>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1元/</w:t>
            </w:r>
            <w:r>
              <w:rPr>
                <w:rFonts w:hint="eastAsia" w:ascii="仿宋" w:hAnsi="仿宋" w:eastAsia="仿宋" w:cs="仿宋"/>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F3C4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上市指导价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4C6FA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400</w:t>
            </w:r>
            <w:r>
              <w:rPr>
                <w:rFonts w:hint="eastAsia" w:ascii="仿宋" w:hAnsi="仿宋" w:eastAsia="仿宋" w:cs="仿宋"/>
                <w:color w:val="auto"/>
                <w:sz w:val="24"/>
                <w:szCs w:val="24"/>
              </w:rPr>
              <w:t>0元/</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lang w:val="en-US" w:eastAsia="zh-CN"/>
              </w:rPr>
              <w:t>不含税、不含运费</w:t>
            </w:r>
            <w:r>
              <w:rPr>
                <w:rFonts w:hint="eastAsia" w:ascii="仿宋" w:hAnsi="仿宋" w:eastAsia="仿宋" w:cs="仿宋"/>
                <w:color w:val="auto"/>
                <w:sz w:val="24"/>
                <w:szCs w:val="24"/>
                <w:lang w:eastAsia="zh-CN"/>
              </w:rPr>
              <w:t>）</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9DFE0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软件使用费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51294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笔</w:t>
            </w:r>
          </w:p>
        </w:tc>
      </w:tr>
      <w:tr w14:paraId="612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D68F7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交收价差</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5562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3A2E7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最大订货总量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30D07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p>
          <w:p w14:paraId="11722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风险状况调整最大订货</w:t>
            </w:r>
            <w:r>
              <w:rPr>
                <w:rFonts w:hint="eastAsia" w:ascii="仿宋" w:hAnsi="仿宋" w:eastAsia="仿宋" w:cs="仿宋"/>
                <w:color w:val="auto"/>
                <w:sz w:val="24"/>
                <w:szCs w:val="24"/>
                <w:lang w:val="en-US" w:eastAsia="zh-CN"/>
              </w:rPr>
              <w:t>总</w:t>
            </w:r>
            <w:r>
              <w:rPr>
                <w:rFonts w:hint="eastAsia" w:ascii="仿宋" w:hAnsi="仿宋" w:eastAsia="仿宋" w:cs="仿宋"/>
                <w:color w:val="auto"/>
                <w:sz w:val="24"/>
                <w:szCs w:val="24"/>
              </w:rPr>
              <w:t>量，</w:t>
            </w:r>
          </w:p>
          <w:p w14:paraId="24A344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1000</w:t>
            </w:r>
            <w:r>
              <w:rPr>
                <w:rFonts w:hint="eastAsia" w:ascii="仿宋" w:hAnsi="仿宋" w:eastAsia="仿宋" w:cs="仿宋"/>
                <w:color w:val="auto"/>
                <w:sz w:val="24"/>
                <w:szCs w:val="24"/>
                <w:lang w:eastAsia="zh-CN"/>
              </w:rPr>
              <w:t>笔</w:t>
            </w:r>
          </w:p>
          <w:p w14:paraId="6315A6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风险状况调整单笔最大下单量，</w:t>
            </w:r>
          </w:p>
          <w:p w14:paraId="340BAF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上一</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风控评估价</w:t>
            </w:r>
            <w:r>
              <w:rPr>
                <w:rFonts w:hint="eastAsia" w:ascii="仿宋" w:hAnsi="仿宋" w:eastAsia="仿宋" w:cs="仿宋"/>
                <w:color w:val="auto"/>
                <w:sz w:val="24"/>
                <w:szCs w:val="24"/>
              </w:rPr>
              <w:t>的±5%</w:t>
            </w:r>
          </w:p>
          <w:p w14:paraId="2DAE56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首日涨跌</w:t>
            </w:r>
            <w:r>
              <w:rPr>
                <w:rFonts w:hint="eastAsia" w:ascii="仿宋" w:hAnsi="仿宋" w:eastAsia="仿宋" w:cs="仿宋"/>
                <w:color w:val="auto"/>
                <w:sz w:val="24"/>
                <w:szCs w:val="24"/>
                <w:lang w:val="en-US" w:eastAsia="zh-CN"/>
              </w:rPr>
              <w:t>限</w:t>
            </w:r>
            <w:r>
              <w:rPr>
                <w:rFonts w:hint="eastAsia" w:ascii="仿宋" w:hAnsi="仿宋" w:eastAsia="仿宋" w:cs="仿宋"/>
                <w:color w:val="auto"/>
                <w:sz w:val="24"/>
                <w:szCs w:val="24"/>
              </w:rPr>
              <w:t>幅为上市指导价的±10%)</w:t>
            </w:r>
          </w:p>
          <w:p w14:paraId="1975FA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w:t>
            </w:r>
            <w:r>
              <w:rPr>
                <w:rFonts w:hint="eastAsia" w:ascii="仿宋" w:hAnsi="仿宋" w:eastAsia="仿宋" w:cs="仿宋"/>
                <w:color w:val="auto"/>
                <w:sz w:val="24"/>
                <w:szCs w:val="24"/>
                <w:lang w:val="en-US" w:eastAsia="zh-CN"/>
              </w:rPr>
              <w:t>涨跌幅度</w:t>
            </w:r>
            <w:r>
              <w:rPr>
                <w:rFonts w:hint="eastAsia" w:ascii="仿宋" w:hAnsi="仿宋" w:eastAsia="仿宋" w:cs="仿宋"/>
                <w:color w:val="auto"/>
                <w:sz w:val="24"/>
                <w:szCs w:val="24"/>
              </w:rPr>
              <w:t>，</w:t>
            </w:r>
          </w:p>
          <w:p w14:paraId="633729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9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2348F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单账户最大订货量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7707B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单边5000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，双边10000</w:t>
            </w:r>
            <w:r>
              <w:rPr>
                <w:rFonts w:hint="eastAsia" w:ascii="仿宋" w:hAnsi="仿宋" w:eastAsia="仿宋" w:cs="仿宋"/>
                <w:color w:val="auto"/>
                <w:sz w:val="24"/>
                <w:szCs w:val="24"/>
                <w:lang w:eastAsia="zh-CN"/>
              </w:rPr>
              <w:t>笔</w:t>
            </w:r>
          </w:p>
          <w:p w14:paraId="6D2EE6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风险状况调整单账户单边、双边最大订货量及单账户</w:t>
            </w:r>
            <w:r>
              <w:rPr>
                <w:rFonts w:hint="eastAsia" w:ascii="仿宋" w:hAnsi="仿宋" w:eastAsia="仿宋" w:cs="仿宋"/>
                <w:color w:val="auto"/>
                <w:sz w:val="24"/>
                <w:szCs w:val="24"/>
                <w:highlight w:val="none"/>
              </w:rPr>
              <w:t>单日最大新增订货量</w:t>
            </w:r>
            <w:r>
              <w:rPr>
                <w:rFonts w:hint="eastAsia" w:ascii="仿宋" w:hAnsi="仿宋" w:eastAsia="仿宋" w:cs="仿宋"/>
                <w:color w:val="auto"/>
                <w:sz w:val="24"/>
                <w:szCs w:val="24"/>
              </w:rPr>
              <w:t>，详见官网公告）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74D34F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月份</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537581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4FC3E8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收获季</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F6A1A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2026年秋冬及2027年春</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周一至周六：9:00-11:30</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；13:00-15:30</w:t>
            </w:r>
          </w:p>
          <w:p w14:paraId="46CF2E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月15日</w:t>
            </w:r>
          </w:p>
          <w:p w14:paraId="62FCC2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月15日不能新订立存货，只能</w:t>
            </w:r>
            <w:r>
              <w:rPr>
                <w:rFonts w:hint="eastAsia" w:ascii="仿宋" w:hAnsi="仿宋" w:eastAsia="仿宋" w:cs="仿宋"/>
                <w:color w:val="auto"/>
                <w:sz w:val="24"/>
                <w:szCs w:val="24"/>
                <w:lang w:val="en-US" w:eastAsia="zh-CN"/>
              </w:rPr>
              <w:t>终止</w:t>
            </w:r>
            <w:r>
              <w:rPr>
                <w:rFonts w:hint="eastAsia" w:ascii="仿宋" w:hAnsi="仿宋" w:eastAsia="仿宋" w:cs="仿宋"/>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规定交收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指定</w:t>
            </w:r>
            <w:r>
              <w:rPr>
                <w:rFonts w:hint="eastAsia" w:ascii="仿宋" w:hAnsi="仿宋" w:eastAsia="仿宋" w:cs="仿宋"/>
                <w:color w:val="auto"/>
                <w:sz w:val="24"/>
                <w:szCs w:val="24"/>
                <w:lang w:val="en-US" w:eastAsia="zh-CN"/>
              </w:rPr>
              <w:t>监管认证</w:t>
            </w:r>
            <w:r>
              <w:rPr>
                <w:rFonts w:hint="eastAsia" w:ascii="仿宋" w:hAnsi="仿宋" w:eastAsia="仿宋" w:cs="仿宋"/>
                <w:color w:val="auto"/>
                <w:sz w:val="24"/>
                <w:szCs w:val="24"/>
              </w:rPr>
              <w:t>仓库(</w:t>
            </w:r>
            <w:r>
              <w:rPr>
                <w:rFonts w:hint="eastAsia" w:ascii="仿宋" w:hAnsi="仿宋" w:eastAsia="仿宋" w:cs="仿宋"/>
                <w:color w:val="auto"/>
                <w:sz w:val="24"/>
                <w:szCs w:val="24"/>
                <w:lang w:val="en-US" w:eastAsia="zh-CN"/>
              </w:rPr>
              <w:t>详见官网</w:t>
            </w:r>
            <w:r>
              <w:rPr>
                <w:rFonts w:hint="eastAsia" w:ascii="仿宋" w:hAnsi="仿宋" w:eastAsia="仿宋" w:cs="仿宋"/>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&lt;订货量&lt;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2F6E1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≤订货量≤</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保证金比例增加1</w:t>
            </w:r>
            <w:r>
              <w:rPr>
                <w:rFonts w:hint="eastAsia" w:ascii="仿宋" w:hAnsi="仿宋" w:eastAsia="仿宋" w:cs="仿宋"/>
                <w:color w:val="auto"/>
                <w:sz w:val="24"/>
                <w:szCs w:val="24"/>
              </w:rPr>
              <w:t>0%</w:t>
            </w:r>
          </w:p>
          <w:p w14:paraId="3456BB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耘上数商有权根据市场风险状况调整比例</w:t>
            </w:r>
            <w:r>
              <w:rPr>
                <w:rFonts w:hint="eastAsia" w:ascii="仿宋" w:hAnsi="仿宋" w:eastAsia="仿宋" w:cs="仿宋"/>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专区</w:t>
            </w:r>
            <w:r>
              <w:rPr>
                <w:rFonts w:hint="eastAsia" w:ascii="仿宋" w:hAnsi="仿宋" w:eastAsia="仿宋" w:cs="仿宋"/>
                <w:color w:val="auto"/>
                <w:sz w:val="24"/>
                <w:szCs w:val="24"/>
              </w:rPr>
              <w:t>上市后</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782BFF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月1日起提高至30%,</w:t>
            </w:r>
          </w:p>
          <w:p w14:paraId="29C708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月16日起提高至50%,</w:t>
            </w:r>
          </w:p>
          <w:p w14:paraId="52DB6C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耘上数商指定检验机构</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最后八个</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775804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2D7480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最小交收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量30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，最大交收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量5000</w:t>
            </w:r>
            <w:r>
              <w:rPr>
                <w:rFonts w:hint="eastAsia" w:ascii="仿宋" w:hAnsi="仿宋" w:eastAsia="仿宋" w:cs="仿宋"/>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580FCC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方式</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3379F3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提前交收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协议交收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p>
        </w:tc>
      </w:tr>
    </w:tbl>
    <w:p w14:paraId="74E01526">
      <w:pPr>
        <w:rPr>
          <w:rFonts w:hint="eastAsia" w:ascii="新宋体" w:hAnsi="新宋体" w:eastAsia="新宋体" w:cs="新宋体"/>
          <w:b/>
          <w:bCs/>
          <w:color w:val="auto"/>
          <w:sz w:val="24"/>
          <w:szCs w:val="24"/>
          <w:lang w:val="en-US" w:eastAsia="zh-CN"/>
        </w:rPr>
      </w:pPr>
    </w:p>
    <w:p w14:paraId="0F84A207">
      <w:pPr>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both"/>
        <w:outlineLvl w:val="9"/>
        <w:rPr>
          <w:rStyle w:val="8"/>
          <w:rFonts w:hint="default"/>
          <w:color w:val="auto"/>
        </w:rPr>
      </w:pPr>
      <w:r>
        <w:rPr>
          <w:rStyle w:val="8"/>
          <w:rFonts w:hint="eastAsia"/>
          <w:color w:val="auto"/>
        </w:rPr>
        <w:t>（一）本</w:t>
      </w:r>
      <w:r>
        <w:rPr>
          <w:rStyle w:val="8"/>
          <w:rFonts w:hint="eastAsia"/>
          <w:color w:val="auto"/>
          <w:lang w:val="en-US" w:eastAsia="zh-CN"/>
        </w:rPr>
        <w:t>说明</w:t>
      </w:r>
      <w:r>
        <w:rPr>
          <w:rStyle w:val="8"/>
          <w:rFonts w:hint="eastAsia"/>
          <w:color w:val="auto"/>
        </w:rPr>
        <w:t>规定了用于</w:t>
      </w:r>
      <w:r>
        <w:rPr>
          <w:rStyle w:val="8"/>
          <w:rFonts w:hint="eastAsia"/>
          <w:color w:val="auto"/>
          <w:lang w:val="en-US" w:eastAsia="zh-CN"/>
        </w:rPr>
        <w:t>耘上数商</w:t>
      </w:r>
      <w:r>
        <w:rPr>
          <w:rStyle w:val="8"/>
          <w:rFonts w:hint="eastAsia"/>
          <w:color w:val="auto"/>
        </w:rPr>
        <w:t>交收的</w:t>
      </w:r>
      <w:r>
        <w:rPr>
          <w:rStyle w:val="8"/>
          <w:rFonts w:hint="eastAsia"/>
          <w:color w:val="auto"/>
          <w:lang w:val="en-US" w:eastAsia="zh-CN"/>
        </w:rPr>
        <w:t>黄</w:t>
      </w:r>
      <w:r>
        <w:rPr>
          <w:rStyle w:val="8"/>
          <w:rFonts w:hint="eastAsia"/>
          <w:color w:val="auto"/>
        </w:rPr>
        <w:t>姜（泥姜）质量要求、质检机构和包装要求等。</w:t>
      </w:r>
    </w:p>
    <w:p w14:paraId="5A9C97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outlineLvl w:val="9"/>
        <w:rPr>
          <w:rStyle w:val="8"/>
          <w:rFonts w:hint="default"/>
          <w:color w:val="auto"/>
        </w:rPr>
      </w:pPr>
      <w:r>
        <w:rPr>
          <w:rStyle w:val="8"/>
          <w:rFonts w:hint="eastAsia"/>
          <w:color w:val="auto"/>
        </w:rPr>
        <w:t>（二）本</w:t>
      </w:r>
      <w:r>
        <w:rPr>
          <w:rStyle w:val="8"/>
          <w:rFonts w:hint="eastAsia"/>
          <w:color w:val="auto"/>
          <w:lang w:val="en-US" w:eastAsia="zh-CN"/>
        </w:rPr>
        <w:t>说明</w:t>
      </w:r>
      <w:r>
        <w:rPr>
          <w:rStyle w:val="8"/>
          <w:rFonts w:hint="eastAsia"/>
          <w:color w:val="auto"/>
        </w:rPr>
        <w:t>适用于</w:t>
      </w:r>
      <w:r>
        <w:rPr>
          <w:rStyle w:val="8"/>
          <w:rFonts w:hint="eastAsia"/>
          <w:color w:val="auto"/>
          <w:lang w:val="en-US" w:eastAsia="zh-CN"/>
        </w:rPr>
        <w:t>耘上数商黄姜</w:t>
      </w:r>
      <w:r>
        <w:rPr>
          <w:rStyle w:val="8"/>
          <w:rFonts w:hint="eastAsia"/>
          <w:color w:val="auto"/>
        </w:rPr>
        <w:t>（泥姜）商品合同</w:t>
      </w:r>
      <w:r>
        <w:rPr>
          <w:rStyle w:val="8"/>
          <w:rFonts w:hint="eastAsia"/>
          <w:color w:val="auto"/>
          <w:highlight w:val="none"/>
          <w:lang w:eastAsia="zh-CN"/>
        </w:rPr>
        <w:t>标的物</w:t>
      </w:r>
      <w:r>
        <w:rPr>
          <w:rStyle w:val="8"/>
          <w:rFonts w:hint="eastAsia"/>
          <w:color w:val="auto"/>
          <w:highlight w:val="none"/>
        </w:rPr>
        <w:t>和</w:t>
      </w:r>
      <w:r>
        <w:rPr>
          <w:rStyle w:val="8"/>
          <w:rFonts w:hint="eastAsia"/>
          <w:color w:val="auto"/>
          <w:highlight w:val="none"/>
          <w:lang w:eastAsia="zh-CN"/>
        </w:rPr>
        <w:t>可换货标的物</w:t>
      </w:r>
      <w:r>
        <w:rPr>
          <w:rStyle w:val="8"/>
          <w:rFonts w:hint="eastAsia"/>
          <w:color w:val="auto"/>
        </w:rPr>
        <w:t>。</w:t>
      </w:r>
    </w:p>
    <w:p w14:paraId="255C67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姜（泥姜）：生产中品种表现为地下根状茎肥大，品种固有特性的生姜品种</w:t>
      </w:r>
      <w:r>
        <w:rPr>
          <w:rFonts w:hint="eastAsia" w:ascii="宋体" w:hAnsi="宋体" w:eastAsia="宋体" w:cs="宋体"/>
          <w:color w:val="auto"/>
          <w:sz w:val="24"/>
          <w:szCs w:val="24"/>
          <w:lang w:eastAsia="zh-CN"/>
        </w:rPr>
        <w:t>。</w:t>
      </w:r>
    </w:p>
    <w:p w14:paraId="43EADC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大姜（泥姜）：生产中品种表现为地下根状茎肥大，单株产量高且为品种固有特性的生姜品种。</w:t>
      </w:r>
    </w:p>
    <w:p w14:paraId="090346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）气味和滋味：应具有生姜特有的、清新的刺激性气味。</w:t>
      </w:r>
    </w:p>
    <w:p w14:paraId="646992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w:t>
      </w:r>
      <w:r>
        <w:rPr>
          <w:rFonts w:hint="eastAsia" w:ascii="黑体" w:hAnsi="黑体" w:eastAsia="黑体" w:cstheme="minorEastAsia"/>
          <w:b/>
          <w:bCs/>
          <w:color w:val="auto"/>
          <w:kern w:val="0"/>
          <w:sz w:val="28"/>
          <w:szCs w:val="28"/>
          <w:highlight w:val="none"/>
          <w:lang w:val="en-US" w:eastAsia="zh-CN" w:bidi="ar-SA"/>
        </w:rPr>
        <w:t>标的物及可换货标的物</w:t>
      </w:r>
      <w:r>
        <w:rPr>
          <w:rFonts w:hint="eastAsia" w:ascii="黑体" w:hAnsi="黑体" w:eastAsia="黑体" w:cstheme="minorEastAsia"/>
          <w:b/>
          <w:bCs/>
          <w:color w:val="auto"/>
          <w:kern w:val="0"/>
          <w:sz w:val="28"/>
          <w:szCs w:val="28"/>
          <w:lang w:val="en-US" w:eastAsia="zh-CN" w:bidi="ar-SA"/>
        </w:rPr>
        <w:t>的质量要求</w:t>
      </w:r>
    </w:p>
    <w:p w14:paraId="7A218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标的物</w:t>
      </w:r>
      <w:r>
        <w:rPr>
          <w:rFonts w:hint="eastAsia" w:ascii="宋体" w:hAnsi="宋体" w:eastAsia="宋体" w:cs="宋体"/>
          <w:b/>
          <w:bCs/>
          <w:color w:val="auto"/>
          <w:sz w:val="24"/>
          <w:szCs w:val="24"/>
          <w:lang w:val="en-US" w:eastAsia="zh-CN"/>
        </w:rPr>
        <w:t>质量要求：黄姜（泥姜）</w:t>
      </w:r>
      <w:r>
        <w:rPr>
          <w:rFonts w:hint="eastAsia" w:ascii="宋体" w:hAnsi="宋体" w:eastAsia="宋体" w:cs="宋体"/>
          <w:b/>
          <w:bCs/>
          <w:color w:val="auto"/>
          <w:sz w:val="24"/>
          <w:szCs w:val="24"/>
        </w:rPr>
        <w:t>基本要求</w:t>
      </w:r>
    </w:p>
    <w:p w14:paraId="126C6D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auto" w:sz="8" w:space="0"/>
              <w:right w:val="single" w:color="000000" w:sz="8" w:space="0"/>
            </w:tcBorders>
            <w:shd w:val="clear" w:color="auto" w:fill="auto"/>
            <w:vAlign w:val="center"/>
          </w:tcPr>
          <w:p w14:paraId="5694C2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auto" w:sz="8" w:space="0"/>
              <w:right w:val="single" w:color="000000" w:sz="8" w:space="0"/>
            </w:tcBorders>
            <w:shd w:val="clear" w:color="auto" w:fill="auto"/>
            <w:vAlign w:val="center"/>
          </w:tcPr>
          <w:p w14:paraId="5D22DA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auto" w:sz="8" w:space="0"/>
              <w:bottom w:val="single" w:color="auto" w:sz="8" w:space="0"/>
              <w:right w:val="single" w:color="000000" w:sz="8" w:space="0"/>
            </w:tcBorders>
            <w:shd w:val="clear" w:color="auto" w:fill="auto"/>
            <w:vAlign w:val="center"/>
          </w:tcPr>
          <w:p w14:paraId="65CA72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single" w:color="auto" w:sz="8" w:space="0"/>
              <w:left w:val="single" w:color="000000" w:sz="8" w:space="0"/>
              <w:bottom w:val="single" w:color="auto" w:sz="8" w:space="0"/>
              <w:right w:val="single" w:color="auto" w:sz="8" w:space="0"/>
            </w:tcBorders>
            <w:shd w:val="clear" w:color="auto" w:fill="auto"/>
            <w:vAlign w:val="center"/>
          </w:tcPr>
          <w:p w14:paraId="67E340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p>
          <w:p w14:paraId="672A79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p>
          <w:p w14:paraId="6F596B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000000" w:sz="8" w:space="0"/>
              <w:bottom w:val="single" w:color="000000" w:sz="8" w:space="0"/>
              <w:right w:val="single" w:color="000000" w:sz="8" w:space="0"/>
            </w:tcBorders>
            <w:shd w:val="clear" w:color="auto" w:fill="auto"/>
            <w:vAlign w:val="center"/>
          </w:tcPr>
          <w:p w14:paraId="13D484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single" w:color="auto" w:sz="8" w:space="0"/>
              <w:left w:val="single" w:color="000000" w:sz="8" w:space="0"/>
              <w:bottom w:val="single" w:color="000000" w:sz="8" w:space="0"/>
              <w:right w:val="single" w:color="000000" w:sz="8" w:space="0"/>
            </w:tcBorders>
            <w:shd w:val="clear" w:color="auto" w:fill="auto"/>
            <w:vAlign w:val="center"/>
          </w:tcPr>
          <w:p w14:paraId="40E0FD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标的物黄姜（泥姜）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超过10.00%且不超过15.00%的，超出部分</w:t>
      </w:r>
      <w:r>
        <w:rPr>
          <w:rFonts w:hint="eastAsia" w:ascii="宋体" w:hAnsi="宋体" w:eastAsia="宋体" w:cs="宋体"/>
          <w:color w:val="auto"/>
          <w:sz w:val="24"/>
          <w:szCs w:val="24"/>
        </w:rPr>
        <w:t>按同等重量扣重可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超过15.00%的，超出部分按双倍重量扣重可参与交收货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250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低于30%且不低于10%</w:t>
      </w:r>
      <w:bookmarkStart w:id="0" w:name="_GoBack"/>
      <w:bookmarkEnd w:id="0"/>
      <w:r>
        <w:rPr>
          <w:rFonts w:hint="eastAsia" w:ascii="宋体" w:hAnsi="宋体" w:eastAsia="宋体" w:cs="宋体"/>
          <w:color w:val="auto"/>
          <w:sz w:val="24"/>
          <w:szCs w:val="24"/>
          <w:lang w:val="en-US" w:eastAsia="zh-CN"/>
        </w:rPr>
        <w:t>的，超出部分按照双倍重量扣重可参与交收货，低于10.00%的不允许交收货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B94F0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0B076B52">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可换货标的物质量要求：大姜（泥姜）质量要求</w:t>
      </w:r>
    </w:p>
    <w:p w14:paraId="20C9B83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ightChars="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）用于交收的大姜（泥姜）应符合质量基本要求的规定，如下表。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5F1F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357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nil"/>
              <w:bottom w:val="single" w:color="000000" w:sz="8" w:space="0"/>
              <w:right w:val="single" w:color="000000" w:sz="8" w:space="0"/>
            </w:tcBorders>
            <w:shd w:val="clear" w:color="auto" w:fill="auto"/>
            <w:vAlign w:val="center"/>
          </w:tcPr>
          <w:p w14:paraId="05702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5716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23858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nil"/>
              <w:bottom w:val="single" w:color="000000" w:sz="8" w:space="0"/>
              <w:right w:val="single" w:color="000000" w:sz="8" w:space="0"/>
            </w:tcBorders>
            <w:shd w:val="clear" w:color="auto" w:fill="auto"/>
            <w:vAlign w:val="center"/>
          </w:tcPr>
          <w:p w14:paraId="22080C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大姜(泥姜)</w:t>
            </w:r>
          </w:p>
        </w:tc>
      </w:tr>
      <w:tr w14:paraId="4C82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08674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nil"/>
              <w:bottom w:val="single" w:color="000000" w:sz="8" w:space="0"/>
              <w:right w:val="single" w:color="000000" w:sz="8" w:space="0"/>
            </w:tcBorders>
            <w:shd w:val="clear" w:color="auto" w:fill="auto"/>
            <w:vAlign w:val="center"/>
          </w:tcPr>
          <w:p w14:paraId="11D46E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形态正常丰满，可具有相似品种特征，允许少量异形品种</w:t>
            </w:r>
          </w:p>
        </w:tc>
      </w:tr>
      <w:tr w14:paraId="0AE7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2CF84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nil"/>
              <w:bottom w:val="single" w:color="000000" w:sz="8" w:space="0"/>
              <w:right w:val="single" w:color="000000" w:sz="8" w:space="0"/>
            </w:tcBorders>
            <w:shd w:val="clear" w:color="auto" w:fill="auto"/>
            <w:vAlign w:val="center"/>
          </w:tcPr>
          <w:p w14:paraId="2D8A44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1713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5EB26B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nil"/>
              <w:bottom w:val="single" w:color="000000" w:sz="8" w:space="0"/>
              <w:right w:val="single" w:color="000000" w:sz="8" w:space="0"/>
            </w:tcBorders>
            <w:shd w:val="clear" w:color="auto" w:fill="auto"/>
            <w:vAlign w:val="center"/>
          </w:tcPr>
          <w:p w14:paraId="23969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具有大姜的正常气味</w:t>
            </w:r>
          </w:p>
        </w:tc>
      </w:tr>
      <w:tr w14:paraId="6FCF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343825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nil"/>
              <w:bottom w:val="single" w:color="000000" w:sz="8" w:space="0"/>
              <w:right w:val="single" w:color="000000" w:sz="8" w:space="0"/>
            </w:tcBorders>
            <w:shd w:val="clear" w:color="auto" w:fill="auto"/>
            <w:vAlign w:val="center"/>
          </w:tcPr>
          <w:p w14:paraId="476BDB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每批次大姜中，整块单重75g以下占比不超过10.0%，整块单重75g（含）至150g占比不超过1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.0%，400g以上的占比不低于25.0%。</w:t>
            </w:r>
          </w:p>
        </w:tc>
      </w:tr>
      <w:tr w14:paraId="4E0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7C56D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nil"/>
              <w:left w:val="nil"/>
              <w:bottom w:val="single" w:color="000000" w:sz="8" w:space="0"/>
              <w:right w:val="single" w:color="000000" w:sz="8" w:space="0"/>
            </w:tcBorders>
            <w:shd w:val="clear" w:color="auto" w:fill="auto"/>
            <w:vAlign w:val="center"/>
          </w:tcPr>
          <w:p w14:paraId="4344C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1B4A32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二类缺陷：包括轻微腐烂、轻微冻伤及热害、病虫害（虫蚀、癞皮、花皮等）、水涝窝（单个姜球上累计面积≥2平方厘米或单个姜球上个数≥3个）、表皮皱缩等缺陷占比</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eastAsia="宋体" w:cs="宋体"/>
                <w:color w:val="auto"/>
                <w:sz w:val="24"/>
                <w:szCs w:val="24"/>
              </w:rPr>
              <w:t>，其中癞皮、焖筋、轻微腐烂、轻微冻、热伤等缺陷</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24C0D6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三类缺陷：机械伤、异形姜等缺陷≤10%。</w:t>
            </w:r>
          </w:p>
        </w:tc>
      </w:tr>
      <w:tr w14:paraId="0F5A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7CCD20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nil"/>
              <w:left w:val="nil"/>
              <w:bottom w:val="single" w:color="000000" w:sz="8" w:space="0"/>
              <w:right w:val="single" w:color="000000" w:sz="8" w:space="0"/>
            </w:tcBorders>
            <w:shd w:val="clear" w:color="auto" w:fill="auto"/>
            <w:vAlign w:val="center"/>
          </w:tcPr>
          <w:p w14:paraId="713CA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15.0%（包括泥土、包装以及姜被冲洗掉的部分等）</w:t>
            </w:r>
          </w:p>
        </w:tc>
      </w:tr>
    </w:tbl>
    <w:p w14:paraId="2E576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2</w:t>
      </w:r>
    </w:p>
    <w:p w14:paraId="2514F8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0480C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可换货标的物大姜（泥姜）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33824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color w:val="auto"/>
          <w:sz w:val="24"/>
          <w:szCs w:val="24"/>
        </w:rPr>
        <w:t>1.每批次大姜中，整块单重75g以下占比不超过10.0%，超出10.0%的部分按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.0%，超出1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.0%的部分按</w:t>
      </w:r>
      <w:r>
        <w:rPr>
          <w:rFonts w:hint="eastAsia" w:ascii="宋体" w:hAnsi="宋体" w:eastAsia="宋体" w:cs="宋体"/>
          <w:color w:val="auto"/>
          <w:sz w:val="24"/>
          <w:szCs w:val="24"/>
          <w:lang w:val="en-US" w:eastAsia="zh-CN"/>
        </w:rPr>
        <w:t>同等</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；整块单重400g以上占比低于25.0%的不允许交收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。重量比例按照四舍五入计算，精确到小数点后两位。</w:t>
      </w:r>
    </w:p>
    <w:p w14:paraId="5B394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0%，按杂质和包装物每降低0.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5362F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3.杂质和包装物含量高于15.0%，按杂质和包装物每增加0.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69B89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22.</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0%，按杂质和包装物</w:t>
      </w:r>
      <w:r>
        <w:rPr>
          <w:rFonts w:hint="eastAsia" w:ascii="宋体" w:hAnsi="宋体" w:eastAsia="宋体" w:cs="宋体"/>
          <w:b w:val="0"/>
          <w:bCs w:val="0"/>
          <w:color w:val="auto"/>
          <w:sz w:val="24"/>
          <w:szCs w:val="24"/>
          <w:lang w:val="en-US" w:eastAsia="zh-CN"/>
        </w:rPr>
        <w:t>含量</w:t>
      </w:r>
      <w:r>
        <w:rPr>
          <w:rFonts w:hint="eastAsia" w:ascii="宋体" w:hAnsi="宋体" w:eastAsia="宋体" w:cs="宋体"/>
          <w:b w:val="0"/>
          <w:bCs w:val="0"/>
          <w:color w:val="auto"/>
          <w:sz w:val="24"/>
          <w:szCs w:val="24"/>
        </w:rPr>
        <w:t>每增加0.</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1%，重量同比例降低0.</w:t>
      </w:r>
      <w:r>
        <w:rPr>
          <w:rFonts w:hint="eastAsia" w:ascii="宋体" w:hAnsi="宋体" w:eastAsia="宋体" w:cs="宋体"/>
          <w:b w:val="0"/>
          <w:bCs w:val="0"/>
          <w:color w:val="auto"/>
          <w:sz w:val="24"/>
          <w:szCs w:val="24"/>
          <w:lang w:val="en-US" w:eastAsia="zh-CN"/>
        </w:rPr>
        <w:t>02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2C3477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5.芽长超过2.5厘米，姜芽部分按杂质扣重。</w:t>
      </w:r>
    </w:p>
    <w:p w14:paraId="2F8CF3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6.一类缺陷在</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%～5%范围的，超出</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%的部分按照超出部分</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倍扣重，一类缺陷在5%以上的不允许交收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01CB43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7.癞皮、焖筋、轻微腐烂、轻微冻伤及热伤等缺陷在</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%的可</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，超出</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%的部分按照2倍重量扣重，以上缺陷在</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1F976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无明显浸湿箱（纸箱单面浸湿面积不超10%）</w:t>
      </w:r>
      <w:r>
        <w:rPr>
          <w:rFonts w:hint="eastAsia" w:ascii="宋体" w:hAnsi="宋体" w:eastAsia="宋体" w:cs="宋体"/>
          <w:color w:val="auto"/>
          <w:sz w:val="24"/>
          <w:szCs w:val="24"/>
        </w:rPr>
        <w:t>等现象。纸箱标签、标志不得出现与生姜行业无关的信息。</w:t>
      </w:r>
    </w:p>
    <w:p w14:paraId="76D29F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2.纸箱规格要求</w:t>
      </w:r>
    </w:p>
    <w:p w14:paraId="1EC527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双层瓦楞纸箱长宽高为50*3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w:t>
      </w:r>
      <w:r>
        <w:rPr>
          <w:rFonts w:hint="eastAsia" w:ascii="宋体" w:hAnsi="宋体" w:eastAsia="宋体" w:cs="宋体"/>
          <w:color w:val="000000" w:themeColor="text1"/>
          <w:sz w:val="24"/>
          <w:szCs w:val="24"/>
          <w:lang w:val="en-US" w:eastAsia="zh-CN"/>
          <w14:textFill>
            <w14:solidFill>
              <w14:schemeClr w14:val="tx1"/>
            </w14:solidFill>
          </w14:textFill>
        </w:rPr>
        <w:t>850</w:t>
      </w:r>
      <w:r>
        <w:rPr>
          <w:rFonts w:hint="eastAsia" w:ascii="宋体" w:hAnsi="宋体" w:eastAsia="宋体" w:cs="宋体"/>
          <w:color w:val="000000" w:themeColor="text1"/>
          <w:sz w:val="24"/>
          <w:szCs w:val="24"/>
          <w14:textFill>
            <w14:solidFill>
              <w14:schemeClr w14:val="tx1"/>
            </w14:solidFill>
          </w14:textFill>
        </w:rPr>
        <w:t>g以上</w:t>
      </w:r>
      <w:r>
        <w:rPr>
          <w:rFonts w:hint="default" w:ascii="宋体" w:hAnsi="宋体" w:cs="宋体"/>
          <w:color w:val="000000" w:themeColor="text1"/>
          <w:sz w:val="24"/>
          <w:szCs w:val="24"/>
          <w:lang w:val="en-US"/>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50*30*30cm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纸箱净重630g以上</w:t>
      </w:r>
      <w:r>
        <w:rPr>
          <w:rFonts w:hint="default" w:ascii="宋体" w:hAnsi="宋体" w:cs="宋体"/>
          <w:color w:val="000000" w:themeColor="text1"/>
          <w:sz w:val="24"/>
          <w:szCs w:val="24"/>
          <w:lang w:val="en-US"/>
          <w14:textFill>
            <w14:solidFill>
              <w14:schemeClr w14:val="tx1"/>
            </w14:solidFill>
          </w14:textFill>
        </w:rPr>
        <w:t>），</w:t>
      </w:r>
      <w:r>
        <w:rPr>
          <w:rFonts w:hint="default" w:ascii="宋体" w:hAnsi="宋体" w:eastAsia="宋体" w:cs="宋体"/>
          <w:b w:val="0"/>
          <w:bCs w:val="0"/>
          <w:i w:val="0"/>
          <w:iCs w:val="0"/>
          <w:color w:val="000000" w:themeColor="text1"/>
          <w:kern w:val="0"/>
          <w:sz w:val="24"/>
          <w:szCs w:val="24"/>
          <w:highlight w:val="none"/>
          <w:vertAlign w:val="baseline"/>
          <w:lang w:val="en-US" w:eastAsia="zh-CN" w:bidi="ar-SA"/>
          <w14:textFill>
            <w14:solidFill>
              <w14:schemeClr w14:val="tx1"/>
            </w14:solidFill>
          </w14:textFill>
        </w:rPr>
        <w:t>允许有1～2cm误差。</w:t>
      </w:r>
    </w:p>
    <w:p w14:paraId="5E0A0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客商</w:t>
      </w:r>
      <w:r>
        <w:rPr>
          <w:rFonts w:hint="eastAsia" w:ascii="宋体" w:hAnsi="宋体" w:eastAsia="宋体" w:cs="宋体"/>
          <w:color w:val="auto"/>
          <w:sz w:val="24"/>
          <w:szCs w:val="24"/>
        </w:rPr>
        <w:t>进行现场调换。</w:t>
      </w:r>
    </w:p>
    <w:p w14:paraId="0D478B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327B3F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本说明构成耘上数商《订单配货协议》附录之一。</w:t>
      </w:r>
    </w:p>
    <w:p w14:paraId="1DFA1B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解释权和修订权属于</w:t>
      </w:r>
      <w:r>
        <w:rPr>
          <w:rFonts w:hint="eastAsia" w:ascii="宋体" w:hAnsi="宋体" w:eastAsia="宋体" w:cs="宋体"/>
          <w:color w:val="auto"/>
          <w:sz w:val="24"/>
          <w:szCs w:val="24"/>
          <w:lang w:val="en-US" w:eastAsia="zh-CN"/>
        </w:rPr>
        <w:t>耘上数商</w:t>
      </w:r>
      <w:r>
        <w:rPr>
          <w:rFonts w:hint="eastAsia" w:ascii="宋体" w:hAnsi="宋体" w:eastAsia="宋体" w:cs="宋体"/>
          <w:color w:val="auto"/>
          <w:sz w:val="24"/>
          <w:szCs w:val="24"/>
        </w:rPr>
        <w:t>。</w:t>
      </w:r>
    </w:p>
    <w:p w14:paraId="27950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E2C01"/>
    <w:multiLevelType w:val="singleLevel"/>
    <w:tmpl w:val="C58E2C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801795"/>
    <w:rsid w:val="018D7D3C"/>
    <w:rsid w:val="031F2043"/>
    <w:rsid w:val="04D7565B"/>
    <w:rsid w:val="057772EC"/>
    <w:rsid w:val="080A1514"/>
    <w:rsid w:val="098E2E78"/>
    <w:rsid w:val="0B031328"/>
    <w:rsid w:val="0D6E60A1"/>
    <w:rsid w:val="0DB60ADD"/>
    <w:rsid w:val="0E603C3C"/>
    <w:rsid w:val="10451A9C"/>
    <w:rsid w:val="106F6AD7"/>
    <w:rsid w:val="11112571"/>
    <w:rsid w:val="11AF0C31"/>
    <w:rsid w:val="12531521"/>
    <w:rsid w:val="127B2EAB"/>
    <w:rsid w:val="12985208"/>
    <w:rsid w:val="14535080"/>
    <w:rsid w:val="149B5AA6"/>
    <w:rsid w:val="15323E58"/>
    <w:rsid w:val="165119C7"/>
    <w:rsid w:val="17E1018C"/>
    <w:rsid w:val="194F6162"/>
    <w:rsid w:val="1B1F09DB"/>
    <w:rsid w:val="1C7A3A3B"/>
    <w:rsid w:val="1D9D5012"/>
    <w:rsid w:val="1DD147A6"/>
    <w:rsid w:val="1E8A0861"/>
    <w:rsid w:val="1F673211"/>
    <w:rsid w:val="227D36CE"/>
    <w:rsid w:val="25B740E7"/>
    <w:rsid w:val="26BD5C77"/>
    <w:rsid w:val="284739DB"/>
    <w:rsid w:val="285E32EB"/>
    <w:rsid w:val="2A461540"/>
    <w:rsid w:val="2B0F1CB0"/>
    <w:rsid w:val="2C0A1682"/>
    <w:rsid w:val="2CC652AA"/>
    <w:rsid w:val="2D943A2B"/>
    <w:rsid w:val="2DA851F7"/>
    <w:rsid w:val="2E5E0013"/>
    <w:rsid w:val="2F6D4FB7"/>
    <w:rsid w:val="3031330E"/>
    <w:rsid w:val="316F7DFE"/>
    <w:rsid w:val="31857392"/>
    <w:rsid w:val="359730C5"/>
    <w:rsid w:val="366E3BE0"/>
    <w:rsid w:val="39507CB7"/>
    <w:rsid w:val="3B15755B"/>
    <w:rsid w:val="3B2C645E"/>
    <w:rsid w:val="3FB83782"/>
    <w:rsid w:val="41445EFA"/>
    <w:rsid w:val="42B37AD7"/>
    <w:rsid w:val="440C56F0"/>
    <w:rsid w:val="46F07114"/>
    <w:rsid w:val="47242DD9"/>
    <w:rsid w:val="4878407A"/>
    <w:rsid w:val="4A113A61"/>
    <w:rsid w:val="4C3A50C6"/>
    <w:rsid w:val="4E123059"/>
    <w:rsid w:val="52034DA3"/>
    <w:rsid w:val="534E61E1"/>
    <w:rsid w:val="54091553"/>
    <w:rsid w:val="54EC0ADA"/>
    <w:rsid w:val="56E005EF"/>
    <w:rsid w:val="57417B9C"/>
    <w:rsid w:val="57527466"/>
    <w:rsid w:val="5AF076C2"/>
    <w:rsid w:val="5CC2508E"/>
    <w:rsid w:val="5F68267E"/>
    <w:rsid w:val="620123E4"/>
    <w:rsid w:val="669A69C9"/>
    <w:rsid w:val="66FA6F7F"/>
    <w:rsid w:val="680C04FD"/>
    <w:rsid w:val="69502213"/>
    <w:rsid w:val="69CC1807"/>
    <w:rsid w:val="6A0171F6"/>
    <w:rsid w:val="6BCC6446"/>
    <w:rsid w:val="6D021801"/>
    <w:rsid w:val="70E54451"/>
    <w:rsid w:val="75745D3F"/>
    <w:rsid w:val="77326E3A"/>
    <w:rsid w:val="77C96E79"/>
    <w:rsid w:val="79DE46D7"/>
    <w:rsid w:val="7D7E6BE3"/>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3362</Words>
  <Characters>3790</Characters>
  <Lines>0</Lines>
  <Paragraphs>0</Paragraphs>
  <TotalTime>6</TotalTime>
  <ScaleCrop>false</ScaleCrop>
  <LinksUpToDate>false</LinksUpToDate>
  <CharactersWithSpaces>3791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Y</cp:lastModifiedBy>
  <cp:lastPrinted>2026-02-27T07:58:00Z</cp:lastPrinted>
  <dcterms:modified xsi:type="dcterms:W3CDTF">2026-05-11T06:55:44Z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19C10E0A8BB44D62B30767C004CE3C55_13</vt:lpwstr>
  </property>
  <property fmtid="{D5CDD505-2E9C-101B-9397-08002B2CF9AE}" pid="4" name="KSOTemplateDocerSaveRecord">
    <vt:lpwstr>eyJoZGlkIjoiMWE3M2MwYmIxNDcwMzExOWM2NmM5YTlkYjcxYzE5NmIiLCJ1c2VySWQiOiIxOTg0OTAxOTIifQ==</vt:lpwstr>
  </property>
</Properties>
</file>