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center"/>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耘上数商白姜（泥姜）2608分级分时专区</w:t>
      </w:r>
    </w:p>
    <w:p w14:paraId="1E7321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6"/>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w:t>
            </w:r>
            <w:r>
              <w:rPr>
                <w:rFonts w:hint="eastAsia" w:ascii="宋体" w:hAnsi="宋体" w:eastAsia="宋体" w:cs="宋体"/>
                <w:color w:val="auto"/>
                <w:sz w:val="24"/>
                <w:szCs w:val="24"/>
                <w:lang w:eastAsia="zh-CN"/>
              </w:rPr>
              <w:t>2608</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J</w:t>
            </w:r>
            <w:r>
              <w:rPr>
                <w:rFonts w:hint="eastAsia" w:ascii="宋体" w:hAnsi="宋体" w:eastAsia="宋体" w:cs="宋体"/>
                <w:color w:val="auto"/>
                <w:sz w:val="24"/>
                <w:szCs w:val="24"/>
                <w:lang w:eastAsia="zh-CN"/>
              </w:rPr>
              <w:t>2608</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val="en-US" w:eastAsia="zh-CN"/>
              </w:rPr>
            </w:pPr>
            <w:r>
              <w:rPr>
                <w:rFonts w:hint="eastAsia" w:ascii="Helvetica" w:hAnsi="Helvetica" w:eastAsia="宋体" w:cs="Helvetica"/>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val="en-US" w:eastAsia="zh-CN"/>
              </w:rPr>
            </w:pPr>
            <w:r>
              <w:rPr>
                <w:rFonts w:hint="eastAsia" w:ascii="宋体" w:hAnsi="宋体" w:eastAsia="宋体" w:cs="宋体"/>
                <w:color w:val="auto"/>
                <w:sz w:val="24"/>
                <w:szCs w:val="24"/>
              </w:rPr>
              <w:t>1吨/</w:t>
            </w:r>
            <w:r>
              <w:rPr>
                <w:rFonts w:hint="eastAsia" w:ascii="宋体" w:hAnsi="宋体" w:eastAsia="宋体" w:cs="宋体"/>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1元/</w:t>
            </w:r>
            <w:r>
              <w:rPr>
                <w:rFonts w:hint="eastAsia" w:ascii="宋体" w:hAnsi="宋体" w:eastAsia="宋体" w:cs="宋体"/>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67F3C4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上市指导价</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44C6FA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lang w:val="en-US" w:eastAsia="zh-CN"/>
              </w:rPr>
              <w:t>2700</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笔</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5" w:hRule="atLeast"/>
        </w:trPr>
        <w:tc>
          <w:tcPr>
            <w:tcW w:w="2765" w:type="dxa"/>
            <w:tcBorders>
              <w:top w:val="single" w:color="auto" w:sz="8" w:space="0"/>
              <w:left w:val="single" w:color="auto" w:sz="8" w:space="0"/>
              <w:bottom w:val="single" w:color="auto" w:sz="8" w:space="0"/>
              <w:right w:val="single" w:color="auto" w:sz="8" w:space="0"/>
            </w:tcBorders>
            <w:shd w:val="clear" w:color="auto" w:fill="auto"/>
            <w:vAlign w:val="center"/>
          </w:tcPr>
          <w:p w14:paraId="49DFE0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软件使用费</w:t>
            </w:r>
          </w:p>
        </w:tc>
        <w:tc>
          <w:tcPr>
            <w:tcW w:w="6154" w:type="dxa"/>
            <w:tcBorders>
              <w:top w:val="single" w:color="auto" w:sz="8" w:space="0"/>
              <w:left w:val="single" w:color="auto" w:sz="8" w:space="0"/>
              <w:bottom w:val="single" w:color="auto" w:sz="8" w:space="0"/>
              <w:right w:val="single" w:color="auto" w:sz="8" w:space="0"/>
            </w:tcBorders>
            <w:shd w:val="clear" w:color="auto" w:fill="auto"/>
            <w:vAlign w:val="center"/>
          </w:tcPr>
          <w:p w14:paraId="151294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2元/</w:t>
            </w:r>
            <w:r>
              <w:rPr>
                <w:rFonts w:hint="eastAsia" w:ascii="宋体" w:hAnsi="宋体" w:eastAsia="宋体" w:cs="宋体"/>
                <w:color w:val="auto"/>
                <w:sz w:val="24"/>
                <w:szCs w:val="24"/>
                <w:lang w:eastAsia="zh-CN"/>
              </w:rPr>
              <w:t>笔</w:t>
            </w:r>
          </w:p>
        </w:tc>
      </w:tr>
      <w:tr w14:paraId="366B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2765" w:type="dxa"/>
            <w:tcBorders>
              <w:top w:val="single" w:color="auto" w:sz="8" w:space="0"/>
              <w:left w:val="single" w:color="auto" w:sz="8" w:space="0"/>
              <w:bottom w:val="single" w:color="auto" w:sz="8" w:space="0"/>
              <w:right w:val="single" w:color="auto" w:sz="8" w:space="0"/>
            </w:tcBorders>
            <w:shd w:val="clear" w:color="auto" w:fill="auto"/>
            <w:vAlign w:val="center"/>
          </w:tcPr>
          <w:p w14:paraId="5466FD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交收价差</w:t>
            </w:r>
          </w:p>
        </w:tc>
        <w:tc>
          <w:tcPr>
            <w:tcW w:w="6154" w:type="dxa"/>
            <w:tcBorders>
              <w:top w:val="single" w:color="auto" w:sz="8" w:space="0"/>
              <w:left w:val="single" w:color="auto" w:sz="8" w:space="0"/>
              <w:bottom w:val="single" w:color="auto" w:sz="8" w:space="0"/>
              <w:right w:val="single" w:color="auto" w:sz="8" w:space="0"/>
            </w:tcBorders>
            <w:shd w:val="clear" w:color="auto" w:fill="auto"/>
            <w:vAlign w:val="center"/>
          </w:tcPr>
          <w:p w14:paraId="657517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13A2E7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最大订货总量</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30D07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p>
          <w:p w14:paraId="117220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风险状况调整最大订货</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量，</w:t>
            </w:r>
          </w:p>
          <w:p w14:paraId="24A344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1000</w:t>
            </w:r>
            <w:r>
              <w:rPr>
                <w:rFonts w:hint="eastAsia" w:ascii="宋体" w:hAnsi="宋体" w:eastAsia="宋体" w:cs="宋体"/>
                <w:color w:val="auto"/>
                <w:sz w:val="24"/>
                <w:szCs w:val="24"/>
                <w:lang w:eastAsia="zh-CN"/>
              </w:rPr>
              <w:t>笔</w:t>
            </w:r>
          </w:p>
          <w:p w14:paraId="6315A6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风险状况调整单笔最大下单量，</w:t>
            </w:r>
          </w:p>
          <w:p w14:paraId="340BAF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上一</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风控评估价</w:t>
            </w:r>
            <w:r>
              <w:rPr>
                <w:rFonts w:hint="eastAsia" w:ascii="宋体" w:hAnsi="宋体" w:eastAsia="宋体" w:cs="宋体"/>
                <w:color w:val="auto"/>
                <w:sz w:val="24"/>
                <w:szCs w:val="24"/>
              </w:rPr>
              <w:t>的±5%</w:t>
            </w:r>
          </w:p>
          <w:p w14:paraId="2DAE56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配货</w:t>
            </w:r>
            <w:r>
              <w:rPr>
                <w:rFonts w:hint="eastAsia" w:ascii="宋体" w:hAnsi="宋体" w:eastAsia="宋体" w:cs="宋体"/>
                <w:color w:val="auto"/>
                <w:sz w:val="24"/>
                <w:szCs w:val="24"/>
              </w:rPr>
              <w:t>首日涨跌</w:t>
            </w:r>
            <w:r>
              <w:rPr>
                <w:rFonts w:hint="eastAsia" w:ascii="宋体" w:hAnsi="宋体" w:eastAsia="宋体" w:cs="宋体"/>
                <w:color w:val="auto"/>
                <w:sz w:val="24"/>
                <w:szCs w:val="24"/>
                <w:lang w:val="en-US" w:eastAsia="zh-CN"/>
              </w:rPr>
              <w:t>限</w:t>
            </w:r>
            <w:r>
              <w:rPr>
                <w:rFonts w:hint="eastAsia" w:ascii="宋体" w:hAnsi="宋体" w:eastAsia="宋体" w:cs="宋体"/>
                <w:color w:val="auto"/>
                <w:sz w:val="24"/>
                <w:szCs w:val="24"/>
              </w:rPr>
              <w:t>幅为上市指导价的±10%)</w:t>
            </w:r>
          </w:p>
          <w:p w14:paraId="1975FA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Lines="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w:t>
            </w:r>
            <w:r>
              <w:rPr>
                <w:rFonts w:hint="eastAsia" w:ascii="宋体" w:hAnsi="宋体" w:eastAsia="宋体" w:cs="宋体"/>
                <w:color w:val="auto"/>
                <w:sz w:val="24"/>
                <w:szCs w:val="24"/>
                <w:lang w:val="en-US" w:eastAsia="zh-CN"/>
              </w:rPr>
              <w:t>涨跌幅度</w:t>
            </w:r>
            <w:r>
              <w:rPr>
                <w:rFonts w:hint="eastAsia" w:ascii="宋体" w:hAnsi="宋体" w:eastAsia="宋体" w:cs="宋体"/>
                <w:color w:val="auto"/>
                <w:sz w:val="24"/>
                <w:szCs w:val="24"/>
              </w:rPr>
              <w:t>，</w:t>
            </w:r>
          </w:p>
          <w:p w14:paraId="449B7E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348F2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单账户最大订货量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707B0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单边5000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，双边10000</w:t>
            </w:r>
            <w:r>
              <w:rPr>
                <w:rFonts w:hint="eastAsia" w:ascii="宋体" w:hAnsi="宋体" w:eastAsia="宋体" w:cs="宋体"/>
                <w:color w:val="auto"/>
                <w:sz w:val="24"/>
                <w:szCs w:val="24"/>
                <w:lang w:eastAsia="zh-CN"/>
              </w:rPr>
              <w:t>笔</w:t>
            </w:r>
          </w:p>
          <w:p w14:paraId="6D2EE6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val="en-US" w:eastAsia="zh-CN"/>
              </w:rPr>
              <w:t>配货</w:t>
            </w:r>
            <w:r>
              <w:rPr>
                <w:rFonts w:hint="eastAsia" w:ascii="宋体" w:hAnsi="宋体" w:eastAsia="宋体" w:cs="宋体"/>
                <w:color w:val="auto"/>
                <w:sz w:val="24"/>
                <w:szCs w:val="24"/>
              </w:rPr>
              <w:t>风险状况调整单账户单边、双边最大订货量及单账户单日最大新增订货量，详见官网公告）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4D34F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到期交收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月份</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37581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FC3E8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收获季</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F6A1A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年秋冬</w:t>
            </w:r>
            <w:r>
              <w:rPr>
                <w:rFonts w:hint="eastAsia" w:ascii="宋体" w:hAnsi="宋体" w:eastAsia="宋体" w:cs="宋体"/>
                <w:color w:val="auto"/>
                <w:sz w:val="24"/>
                <w:szCs w:val="24"/>
                <w:lang w:val="en-US" w:eastAsia="zh-CN"/>
              </w:rPr>
              <w:t>及2026年春</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周一至周六：9:00-11:30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；13:00-15:30</w:t>
            </w:r>
          </w:p>
          <w:p w14:paraId="46CF2E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最后</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月15日</w:t>
            </w:r>
          </w:p>
          <w:p w14:paraId="62FCC2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月15日不能新订立存货，只能</w:t>
            </w:r>
            <w:r>
              <w:rPr>
                <w:rFonts w:hint="eastAsia" w:ascii="宋体" w:hAnsi="宋体" w:eastAsia="宋体" w:cs="宋体"/>
                <w:color w:val="auto"/>
                <w:sz w:val="24"/>
                <w:szCs w:val="24"/>
                <w:lang w:val="en-US" w:eastAsia="zh-CN"/>
              </w:rPr>
              <w:t>终止</w:t>
            </w:r>
            <w:r>
              <w:rPr>
                <w:rFonts w:hint="eastAsia" w:ascii="宋体" w:hAnsi="宋体" w:eastAsia="宋体" w:cs="宋体"/>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Helvetica" w:hAnsi="Helvetica" w:eastAsia="Helvetica" w:cs="Helvetica"/>
                <w:color w:val="auto"/>
                <w:kern w:val="0"/>
                <w:sz w:val="24"/>
                <w:szCs w:val="24"/>
                <w:lang w:val="en-US" w:eastAsia="zh-CN" w:bidi="ar"/>
              </w:rPr>
            </w:pPr>
            <w:r>
              <w:rPr>
                <w:rFonts w:hint="eastAsia" w:ascii="宋体" w:hAnsi="宋体" w:eastAsia="宋体" w:cs="宋体"/>
                <w:color w:val="auto"/>
                <w:sz w:val="24"/>
                <w:szCs w:val="24"/>
              </w:rPr>
              <w:t>规定交收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Helvetica" w:hAnsi="Helvetica" w:eastAsia="Helvetica" w:cs="Helvetica"/>
                <w:color w:val="auto"/>
                <w:kern w:val="0"/>
                <w:sz w:val="24"/>
                <w:szCs w:val="24"/>
                <w:lang w:val="en-US" w:eastAsia="zh-CN" w:bidi="ar"/>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指定</w:t>
            </w:r>
            <w:r>
              <w:rPr>
                <w:rFonts w:hint="eastAsia" w:ascii="宋体" w:hAnsi="宋体" w:eastAsia="宋体" w:cs="宋体"/>
                <w:color w:val="auto"/>
                <w:sz w:val="24"/>
                <w:szCs w:val="24"/>
                <w:lang w:val="en-US" w:eastAsia="zh-CN"/>
              </w:rPr>
              <w:t>监管认证</w:t>
            </w:r>
            <w:r>
              <w:rPr>
                <w:rFonts w:hint="eastAsia" w:ascii="宋体" w:hAnsi="宋体" w:eastAsia="宋体" w:cs="宋体"/>
                <w:color w:val="auto"/>
                <w:sz w:val="24"/>
                <w:szCs w:val="24"/>
              </w:rPr>
              <w:t>仓库(</w:t>
            </w:r>
            <w:r>
              <w:rPr>
                <w:rFonts w:hint="eastAsia" w:ascii="宋体" w:hAnsi="宋体" w:eastAsia="宋体" w:cs="宋体"/>
                <w:color w:val="auto"/>
                <w:sz w:val="24"/>
                <w:szCs w:val="24"/>
                <w:lang w:val="en-US" w:eastAsia="zh-CN"/>
              </w:rPr>
              <w:t>详见官网</w:t>
            </w:r>
            <w:r>
              <w:rPr>
                <w:rFonts w:hint="eastAsia" w:ascii="宋体" w:hAnsi="宋体" w:eastAsia="宋体" w:cs="宋体"/>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订货量</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比例为20%；</w:t>
            </w:r>
          </w:p>
          <w:p w14:paraId="2F6E1E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≤订货量≤</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保证金比例增加1</w:t>
            </w:r>
            <w:r>
              <w:rPr>
                <w:rFonts w:hint="eastAsia" w:ascii="宋体" w:hAnsi="宋体" w:eastAsia="宋体" w:cs="宋体"/>
                <w:color w:val="auto"/>
                <w:sz w:val="24"/>
                <w:szCs w:val="24"/>
              </w:rPr>
              <w:t>0%</w:t>
            </w:r>
          </w:p>
          <w:p w14:paraId="3456BB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耘上数商有权根据市场风险状况调整比例</w:t>
            </w:r>
            <w:r>
              <w:rPr>
                <w:rFonts w:hint="eastAsia" w:ascii="宋体" w:hAnsi="宋体" w:eastAsia="宋体" w:cs="宋体"/>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专区</w:t>
            </w:r>
            <w:r>
              <w:rPr>
                <w:rFonts w:hint="eastAsia" w:ascii="宋体" w:hAnsi="宋体" w:eastAsia="宋体" w:cs="宋体"/>
                <w:color w:val="auto"/>
                <w:sz w:val="24"/>
                <w:szCs w:val="24"/>
              </w:rPr>
              <w:t>上市后</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比例为20%,</w:t>
            </w:r>
          </w:p>
          <w:p w14:paraId="782BFF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月1日起提高至30%,</w:t>
            </w:r>
          </w:p>
          <w:p w14:paraId="29C708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月16日起提高至50%,</w:t>
            </w:r>
          </w:p>
          <w:p w14:paraId="52DB6C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耘上数商指定检验机构</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详见官网</w:t>
            </w:r>
            <w:r>
              <w:rPr>
                <w:rFonts w:hint="eastAsia" w:ascii="宋体" w:hAnsi="宋体" w:eastAsia="宋体" w:cs="宋体"/>
                <w:color w:val="auto"/>
                <w:sz w:val="24"/>
                <w:szCs w:val="24"/>
              </w:rPr>
              <w:t>)</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最后八个</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75804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单账户交收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2D7480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最小交收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量30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，最大交收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量5000</w:t>
            </w:r>
            <w:r>
              <w:rPr>
                <w:rFonts w:hint="eastAsia" w:ascii="宋体" w:hAnsi="宋体" w:eastAsia="宋体" w:cs="宋体"/>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80FCC9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方式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79F3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default" w:ascii="Helvetica" w:hAnsi="Helvetica" w:eastAsia="Helvetica" w:cs="Helvetica"/>
                <w:color w:val="auto"/>
                <w:sz w:val="24"/>
                <w:szCs w:val="24"/>
              </w:rPr>
            </w:pPr>
            <w:r>
              <w:rPr>
                <w:rFonts w:hint="eastAsia" w:ascii="宋体" w:hAnsi="宋体" w:eastAsia="宋体" w:cs="宋体"/>
                <w:color w:val="auto"/>
                <w:sz w:val="24"/>
                <w:szCs w:val="24"/>
              </w:rPr>
              <w:t>提前交收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协议交收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、到期交收</w:t>
            </w:r>
            <w:r>
              <w:rPr>
                <w:rFonts w:hint="eastAsia" w:ascii="宋体" w:hAnsi="宋体" w:eastAsia="宋体" w:cs="宋体"/>
                <w:color w:val="auto"/>
                <w:sz w:val="24"/>
                <w:szCs w:val="24"/>
                <w:lang w:val="en-US" w:eastAsia="zh-CN"/>
              </w:rPr>
              <w:t>货</w:t>
            </w:r>
          </w:p>
        </w:tc>
      </w:tr>
    </w:tbl>
    <w:p w14:paraId="72E9819D">
      <w:pPr>
        <w:rPr>
          <w:rFonts w:hint="eastAsia" w:asciiTheme="minorHAnsi" w:hAnsiTheme="minorHAnsi" w:eastAsiaTheme="minorEastAsia" w:cstheme="minorBidi"/>
          <w:kern w:val="2"/>
          <w:sz w:val="21"/>
          <w:szCs w:val="24"/>
          <w:lang w:val="en-US" w:eastAsia="zh-CN" w:bidi="ar-SA"/>
        </w:rPr>
      </w:pPr>
      <w:r>
        <w:rPr>
          <w:rFonts w:hint="eastAsia" w:ascii="新宋体" w:hAnsi="新宋体" w:eastAsia="新宋体" w:cs="新宋体"/>
          <w:b/>
          <w:bCs/>
          <w:color w:val="auto"/>
          <w:sz w:val="24"/>
          <w:szCs w:val="24"/>
          <w:lang w:val="en-US" w:eastAsia="zh-CN"/>
        </w:rPr>
        <w:br w:type="page"/>
      </w:r>
    </w:p>
    <w:p w14:paraId="270508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耘上数商白姜（泥姜）交收货质量说明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firstLine="480" w:firstLineChars="200"/>
        <w:jc w:val="both"/>
        <w:outlineLvl w:val="9"/>
        <w:rPr>
          <w:rStyle w:val="7"/>
          <w:rFonts w:hint="default"/>
          <w:color w:val="auto"/>
        </w:rPr>
      </w:pPr>
      <w:r>
        <w:rPr>
          <w:rStyle w:val="7"/>
          <w:rFonts w:hint="eastAsia"/>
          <w:color w:val="auto"/>
        </w:rPr>
        <w:t>（一）本</w:t>
      </w:r>
      <w:r>
        <w:rPr>
          <w:rStyle w:val="7"/>
          <w:rFonts w:hint="eastAsia"/>
          <w:color w:val="auto"/>
          <w:lang w:val="en-US" w:eastAsia="zh-CN"/>
        </w:rPr>
        <w:t>说明</w:t>
      </w:r>
      <w:r>
        <w:rPr>
          <w:rStyle w:val="7"/>
          <w:rFonts w:hint="eastAsia"/>
          <w:color w:val="auto"/>
        </w:rPr>
        <w:t>规定了用于</w:t>
      </w:r>
      <w:r>
        <w:rPr>
          <w:rStyle w:val="7"/>
          <w:rFonts w:hint="eastAsia"/>
          <w:color w:val="auto"/>
          <w:lang w:val="en-US" w:eastAsia="zh-CN"/>
        </w:rPr>
        <w:t>耘上数商</w:t>
      </w:r>
      <w:r>
        <w:rPr>
          <w:rStyle w:val="7"/>
          <w:rFonts w:hint="eastAsia"/>
          <w:color w:val="auto"/>
        </w:rPr>
        <w:t>交收</w:t>
      </w:r>
      <w:r>
        <w:rPr>
          <w:rStyle w:val="7"/>
          <w:rFonts w:hint="eastAsia"/>
          <w:color w:val="auto"/>
          <w:lang w:val="en-US" w:eastAsia="zh-CN"/>
        </w:rPr>
        <w:t>货</w:t>
      </w:r>
      <w:r>
        <w:rPr>
          <w:rStyle w:val="7"/>
          <w:rFonts w:hint="eastAsia"/>
          <w:color w:val="auto"/>
        </w:rPr>
        <w:t>的</w:t>
      </w:r>
      <w:r>
        <w:rPr>
          <w:rStyle w:val="7"/>
          <w:rFonts w:hint="eastAsia"/>
          <w:color w:val="auto"/>
          <w:lang w:val="en-US" w:eastAsia="zh-CN"/>
        </w:rPr>
        <w:t>白</w:t>
      </w:r>
      <w:r>
        <w:rPr>
          <w:rStyle w:val="7"/>
          <w:rFonts w:hint="eastAsia"/>
          <w:color w:val="auto"/>
        </w:rPr>
        <w:t>姜（泥姜）质量要求、质检机构和包装要求等。</w:t>
      </w:r>
    </w:p>
    <w:p w14:paraId="5A9C97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480" w:firstLineChars="200"/>
        <w:outlineLvl w:val="9"/>
        <w:rPr>
          <w:rStyle w:val="7"/>
          <w:rFonts w:hint="default"/>
          <w:color w:val="auto"/>
        </w:rPr>
      </w:pPr>
      <w:r>
        <w:rPr>
          <w:rStyle w:val="7"/>
          <w:rFonts w:hint="eastAsia"/>
          <w:color w:val="auto"/>
        </w:rPr>
        <w:t>（二）本</w:t>
      </w:r>
      <w:r>
        <w:rPr>
          <w:rStyle w:val="7"/>
          <w:rFonts w:hint="eastAsia"/>
          <w:color w:val="auto"/>
          <w:lang w:val="en-US" w:eastAsia="zh-CN"/>
        </w:rPr>
        <w:t>说明</w:t>
      </w:r>
      <w:r>
        <w:rPr>
          <w:rStyle w:val="7"/>
          <w:rFonts w:hint="eastAsia"/>
          <w:color w:val="auto"/>
        </w:rPr>
        <w:t>适用于</w:t>
      </w:r>
      <w:r>
        <w:rPr>
          <w:rStyle w:val="7"/>
          <w:rFonts w:hint="eastAsia"/>
          <w:color w:val="auto"/>
          <w:lang w:val="en-US" w:eastAsia="zh-CN"/>
        </w:rPr>
        <w:t>耘上数商白姜</w:t>
      </w:r>
      <w:r>
        <w:rPr>
          <w:rStyle w:val="7"/>
          <w:rFonts w:hint="eastAsia"/>
          <w:color w:val="auto"/>
        </w:rPr>
        <w:t>（泥姜）商品</w:t>
      </w:r>
      <w:r>
        <w:rPr>
          <w:rStyle w:val="7"/>
          <w:rFonts w:hint="eastAsia"/>
          <w:color w:val="auto"/>
          <w:lang w:val="en-US" w:eastAsia="zh-CN"/>
        </w:rPr>
        <w:t>专区</w:t>
      </w:r>
      <w:r>
        <w:rPr>
          <w:rStyle w:val="7"/>
          <w:rFonts w:hint="eastAsia"/>
          <w:color w:val="auto"/>
          <w:highlight w:val="none"/>
          <w:lang w:eastAsia="zh-CN"/>
        </w:rPr>
        <w:t>标的物</w:t>
      </w:r>
      <w:r>
        <w:rPr>
          <w:rStyle w:val="7"/>
          <w:rFonts w:hint="eastAsia"/>
          <w:color w:val="auto"/>
          <w:highlight w:val="none"/>
        </w:rPr>
        <w:t>和</w:t>
      </w:r>
      <w:r>
        <w:rPr>
          <w:rStyle w:val="7"/>
          <w:rFonts w:hint="eastAsia"/>
          <w:color w:val="auto"/>
          <w:highlight w:val="none"/>
          <w:lang w:eastAsia="zh-CN"/>
        </w:rPr>
        <w:t>可换货标的物</w:t>
      </w:r>
      <w:r>
        <w:rPr>
          <w:rStyle w:val="7"/>
          <w:rFonts w:hint="eastAsia"/>
          <w:color w:val="auto"/>
        </w:rPr>
        <w:t>。</w:t>
      </w:r>
    </w:p>
    <w:p w14:paraId="255C67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53A80A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姜（泥姜）：生产中品种表现为地下根状茎肥大，</w:t>
      </w:r>
      <w:r>
        <w:rPr>
          <w:rFonts w:hint="eastAsia" w:ascii="宋体" w:hAnsi="宋体" w:eastAsia="宋体" w:cs="宋体"/>
          <w:color w:val="auto"/>
          <w:sz w:val="24"/>
          <w:szCs w:val="24"/>
          <w:lang w:val="en-US" w:eastAsia="zh-CN"/>
        </w:rPr>
        <w:t>肉质呈现黄灰白蓝等颜色且</w:t>
      </w:r>
      <w:r>
        <w:rPr>
          <w:rFonts w:hint="eastAsia" w:ascii="宋体" w:hAnsi="宋体" w:eastAsia="宋体" w:cs="宋体"/>
          <w:color w:val="auto"/>
          <w:sz w:val="24"/>
          <w:szCs w:val="24"/>
        </w:rPr>
        <w:t>品种固有特性的生姜品种</w:t>
      </w:r>
      <w:r>
        <w:rPr>
          <w:rFonts w:hint="eastAsia" w:ascii="宋体" w:hAnsi="宋体" w:eastAsia="宋体" w:cs="宋体"/>
          <w:color w:val="auto"/>
          <w:sz w:val="24"/>
          <w:szCs w:val="24"/>
          <w:lang w:eastAsia="zh-CN"/>
        </w:rPr>
        <w:t>。</w:t>
      </w:r>
    </w:p>
    <w:p w14:paraId="090346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）气味和滋味：应具有生姜特有的、清新的刺激性气味。</w:t>
      </w:r>
    </w:p>
    <w:p w14:paraId="646992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）不完善姜：个体形状不全或受机械伤、病虫害等影响失去部分使用价值的生姜产品。包括：机械伤、腐烂、表皮皱缩、冻、热伤、病虫害姜等。</w:t>
      </w:r>
    </w:p>
    <w:p w14:paraId="4C0027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麻脚病（</w:t>
      </w:r>
      <w:r>
        <w:rPr>
          <w:rFonts w:hint="eastAsia" w:ascii="宋体" w:hAnsi="宋体" w:eastAsia="宋体" w:cs="宋体"/>
          <w:color w:val="auto"/>
          <w:sz w:val="24"/>
          <w:szCs w:val="24"/>
        </w:rPr>
        <w:t>单个姜球上累计面积≥2平方厘米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三、标的物的质量要求</w:t>
      </w:r>
    </w:p>
    <w:p w14:paraId="7A218A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白姜（泥姜）</w:t>
      </w:r>
      <w:r>
        <w:rPr>
          <w:rFonts w:hint="eastAsia" w:ascii="宋体" w:hAnsi="宋体" w:eastAsia="宋体" w:cs="宋体"/>
          <w:b/>
          <w:bCs/>
          <w:color w:val="auto"/>
          <w:sz w:val="24"/>
          <w:szCs w:val="24"/>
        </w:rPr>
        <w:t>基本要求</w:t>
      </w:r>
    </w:p>
    <w:p w14:paraId="126C6D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姜（泥姜）应符合质量基本要求的规定，如下表。</w:t>
      </w:r>
    </w:p>
    <w:tbl>
      <w:tblPr>
        <w:tblStyle w:val="6"/>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6FE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2C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7F0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CDE12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0E9D4B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w:t>
            </w:r>
          </w:p>
        </w:tc>
      </w:tr>
      <w:tr w14:paraId="162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9E9AB7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E79D30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具有相似品种特征，</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允许少量异形品种。</w:t>
            </w:r>
          </w:p>
        </w:tc>
      </w:tr>
      <w:tr w14:paraId="6269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831E7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25F28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5E1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932A6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1C1CF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具有姜的正常气味</w:t>
            </w:r>
          </w:p>
        </w:tc>
      </w:tr>
      <w:tr w14:paraId="765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auto" w:sz="8" w:space="0"/>
              <w:right w:val="single" w:color="000000" w:sz="8" w:space="0"/>
            </w:tcBorders>
            <w:shd w:val="clear" w:color="auto" w:fill="auto"/>
            <w:vAlign w:val="center"/>
          </w:tcPr>
          <w:p w14:paraId="5694C23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single" w:color="000000" w:sz="8" w:space="0"/>
              <w:bottom w:val="single" w:color="auto" w:sz="8" w:space="0"/>
              <w:right w:val="single" w:color="000000" w:sz="8" w:space="0"/>
            </w:tcBorders>
            <w:shd w:val="clear" w:color="auto" w:fill="auto"/>
            <w:vAlign w:val="center"/>
          </w:tcPr>
          <w:p w14:paraId="5D22DA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g以下占比不超过10.0%，</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0g以上的占比不低于</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w:t>
            </w:r>
          </w:p>
        </w:tc>
      </w:tr>
      <w:tr w14:paraId="7712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auto" w:sz="8" w:space="0"/>
              <w:left w:val="single" w:color="auto" w:sz="8" w:space="0"/>
              <w:bottom w:val="single" w:color="auto" w:sz="8" w:space="0"/>
              <w:right w:val="single" w:color="auto" w:sz="8" w:space="0"/>
            </w:tcBorders>
            <w:shd w:val="clear" w:color="auto" w:fill="auto"/>
            <w:vAlign w:val="center"/>
          </w:tcPr>
          <w:p w14:paraId="65CA72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single" w:color="auto" w:sz="8" w:space="0"/>
              <w:left w:val="single" w:color="auto" w:sz="8" w:space="0"/>
              <w:bottom w:val="single" w:color="auto" w:sz="8" w:space="0"/>
              <w:right w:val="single" w:color="auto" w:sz="8" w:space="0"/>
            </w:tcBorders>
            <w:shd w:val="clear" w:color="auto" w:fill="auto"/>
            <w:vAlign w:val="center"/>
          </w:tcPr>
          <w:p w14:paraId="67E340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一类缺陷：包括严重腐烂、严重冻伤及热伤（回芽姜等）等缺陷占比≤</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p>
          <w:p w14:paraId="672A79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麻脚</w:t>
            </w:r>
            <w:r>
              <w:rPr>
                <w:rFonts w:hint="eastAsia" w:ascii="宋体" w:hAnsi="宋体" w:eastAsia="宋体" w:cs="宋体"/>
                <w:color w:val="auto"/>
                <w:sz w:val="24"/>
                <w:szCs w:val="24"/>
              </w:rPr>
              <w:t>等）、水涝窝（单个姜球上累计面积≥2平方厘米或单个姜球上个数≥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个）、表皮皱缩等缺陷占比≤</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p w14:paraId="6F596B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三类缺陷：机械伤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异形姜等缺陷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r>
      <w:tr w14:paraId="2A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auto" w:sz="8" w:space="0"/>
              <w:left w:val="single" w:color="000000" w:sz="8" w:space="0"/>
              <w:bottom w:val="single" w:color="000000" w:sz="8" w:space="0"/>
              <w:right w:val="single" w:color="000000" w:sz="8" w:space="0"/>
            </w:tcBorders>
            <w:shd w:val="clear" w:color="auto" w:fill="auto"/>
            <w:vAlign w:val="center"/>
          </w:tcPr>
          <w:p w14:paraId="13D484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single" w:color="auto" w:sz="8" w:space="0"/>
              <w:left w:val="single" w:color="000000" w:sz="8" w:space="0"/>
              <w:bottom w:val="single" w:color="000000" w:sz="8" w:space="0"/>
              <w:right w:val="single" w:color="000000" w:sz="8" w:space="0"/>
            </w:tcBorders>
            <w:shd w:val="clear" w:color="auto" w:fill="auto"/>
            <w:vAlign w:val="center"/>
          </w:tcPr>
          <w:p w14:paraId="40E0FD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24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.0%（包括泥土、包装以及姜被冲洗掉的部分等）</w:t>
            </w:r>
          </w:p>
        </w:tc>
      </w:tr>
    </w:tbl>
    <w:p w14:paraId="02142A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00" w:lineRule="atLeast"/>
        <w:ind w:left="0" w:right="0" w:firstLine="4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表1</w:t>
      </w:r>
    </w:p>
    <w:p w14:paraId="54A8C0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0" w:lineRule="atLeast"/>
        <w:ind w:left="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628794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标的物白姜（泥姜）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4A81E0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both"/>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超出部分</w:t>
      </w:r>
      <w:r>
        <w:rPr>
          <w:rFonts w:hint="eastAsia" w:ascii="宋体" w:hAnsi="宋体" w:eastAsia="宋体" w:cs="宋体"/>
          <w:color w:val="auto"/>
          <w:sz w:val="24"/>
          <w:szCs w:val="24"/>
        </w:rPr>
        <w:t>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重量扣重可进行交收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w:t>
      </w:r>
      <w:r>
        <w:rPr>
          <w:rFonts w:hint="eastAsia" w:ascii="宋体" w:hAnsi="宋体" w:eastAsia="宋体" w:cs="宋体"/>
          <w:color w:val="auto"/>
          <w:sz w:val="24"/>
          <w:szCs w:val="24"/>
          <w:lang w:val="en-US" w:eastAsia="zh-CN"/>
        </w:rPr>
        <w:t>400</w:t>
      </w:r>
      <w:r>
        <w:rPr>
          <w:rFonts w:hint="eastAsia" w:ascii="宋体" w:hAnsi="宋体" w:eastAsia="宋体" w:cs="宋体"/>
          <w:color w:val="auto"/>
          <w:sz w:val="24"/>
          <w:szCs w:val="24"/>
        </w:rPr>
        <w:t>g以上占比</w:t>
      </w:r>
      <w:r>
        <w:rPr>
          <w:rFonts w:hint="eastAsia" w:ascii="宋体" w:hAnsi="宋体" w:eastAsia="宋体" w:cs="宋体"/>
          <w:color w:val="auto"/>
          <w:sz w:val="24"/>
          <w:szCs w:val="24"/>
          <w:lang w:val="en-US" w:eastAsia="zh-CN"/>
        </w:rPr>
        <w:t>不低</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低于35.00%的不允许交收货</w:t>
      </w:r>
      <w:r>
        <w:rPr>
          <w:rFonts w:hint="eastAsia" w:ascii="宋体" w:hAnsi="宋体" w:eastAsia="宋体" w:cs="宋体"/>
          <w:color w:val="auto"/>
          <w:sz w:val="24"/>
          <w:szCs w:val="24"/>
        </w:rPr>
        <w:t>。重量比例按照四舍五入计算，精确到小数点后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位。</w:t>
      </w:r>
    </w:p>
    <w:p w14:paraId="2FD253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%，重量同比例增加0.1%进行交收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7F008B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%，按杂质和包装物每增加0.1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%进行交收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BC65E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高于18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0065D5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芽长超过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厘米，姜芽部分按杂质扣重。</w:t>
      </w:r>
    </w:p>
    <w:p w14:paraId="40091F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一类缺陷在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%范围的，超出</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%的部分按照超出部分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倍扣重，一类缺陷在</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05EE63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二类</w:t>
      </w:r>
      <w:r>
        <w:rPr>
          <w:rFonts w:hint="eastAsia" w:ascii="宋体" w:hAnsi="宋体" w:eastAsia="宋体" w:cs="宋体"/>
          <w:color w:val="auto"/>
          <w:sz w:val="24"/>
          <w:szCs w:val="24"/>
        </w:rPr>
        <w:t>缺陷在</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，超出</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%的部分按照2倍重量扣重，以上缺陷在</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1F9767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无明显浸湿箱（纸箱单面浸湿面积不超过10%）</w:t>
      </w:r>
      <w:r>
        <w:rPr>
          <w:rFonts w:hint="eastAsia" w:ascii="宋体" w:hAnsi="宋体" w:eastAsia="宋体" w:cs="宋体"/>
          <w:color w:val="auto"/>
          <w:sz w:val="24"/>
          <w:szCs w:val="24"/>
        </w:rPr>
        <w:t>等现象。纸箱标签、标志不得出现与生姜行业无关的信息。</w:t>
      </w:r>
    </w:p>
    <w:p w14:paraId="4276EA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2.纸箱规格要求</w:t>
      </w:r>
    </w:p>
    <w:p w14:paraId="49642C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双层瓦楞纸箱长宽高为50*3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cm，允许有1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2cm误差，纸箱净重</w:t>
      </w:r>
      <w:r>
        <w:rPr>
          <w:rFonts w:hint="eastAsia" w:ascii="宋体" w:hAnsi="宋体" w:eastAsia="宋体" w:cs="宋体"/>
          <w:color w:val="auto"/>
          <w:sz w:val="24"/>
          <w:szCs w:val="24"/>
          <w:lang w:val="en-US" w:eastAsia="zh-CN"/>
        </w:rPr>
        <w:t>850</w:t>
      </w:r>
      <w:r>
        <w:rPr>
          <w:rFonts w:hint="eastAsia" w:ascii="宋体" w:hAnsi="宋体" w:eastAsia="宋体" w:cs="宋体"/>
          <w:color w:val="auto"/>
          <w:sz w:val="24"/>
          <w:szCs w:val="24"/>
        </w:rPr>
        <w:t>g以上。</w:t>
      </w:r>
    </w:p>
    <w:p w14:paraId="5E0A02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w:t>
      </w:r>
      <w:r>
        <w:rPr>
          <w:rFonts w:hint="eastAsia" w:ascii="宋体" w:hAnsi="宋体" w:eastAsia="宋体" w:cs="宋体"/>
          <w:color w:val="auto"/>
          <w:sz w:val="24"/>
          <w:szCs w:val="24"/>
        </w:rPr>
        <w:t>商进行现场调换。</w:t>
      </w:r>
    </w:p>
    <w:p w14:paraId="0D478B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327B3F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firstLine="480" w:firstLineChars="200"/>
        <w:rPr>
          <w:rFonts w:hint="eastAsia" w:ascii="Helvetica" w:hAnsi="Helvetica" w:eastAsia="Helvetica" w:cs="Helvetica"/>
          <w:color w:val="auto"/>
          <w:sz w:val="24"/>
          <w:szCs w:val="24"/>
          <w:lang w:val="en-US" w:eastAsia="zh-CN"/>
        </w:rPr>
      </w:pPr>
      <w:r>
        <w:rPr>
          <w:rFonts w:hint="eastAsia" w:ascii="Helvetica" w:hAnsi="Helvetica" w:eastAsia="Helvetica" w:cs="Helvetica"/>
          <w:color w:val="auto"/>
          <w:sz w:val="24"/>
          <w:szCs w:val="24"/>
          <w:lang w:val="en-US" w:eastAsia="zh-CN"/>
        </w:rPr>
        <w:t>本说明构成耘上数商《订单配货业务协议》附录之一。</w:t>
      </w:r>
    </w:p>
    <w:p w14:paraId="1DFA1B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480" w:firstLineChars="200"/>
        <w:rPr>
          <w:rFonts w:hint="default" w:ascii="Helvetica" w:hAnsi="Helvetica" w:eastAsia="Helvetica" w:cs="Helvetica"/>
          <w:color w:val="auto"/>
          <w:sz w:val="24"/>
          <w:szCs w:val="24"/>
        </w:rPr>
      </w:pPr>
      <w:r>
        <w:rPr>
          <w:rFonts w:hint="eastAsia" w:ascii="Helvetica" w:hAnsi="Helvetica" w:eastAsia="Helvetica" w:cs="Helvetica"/>
          <w:color w:val="auto"/>
          <w:sz w:val="24"/>
          <w:szCs w:val="24"/>
        </w:rPr>
        <w:t>本</w:t>
      </w:r>
      <w:r>
        <w:rPr>
          <w:rFonts w:hint="eastAsia" w:ascii="Helvetica" w:hAnsi="Helvetica" w:eastAsia="宋体" w:cs="Helvetica"/>
          <w:color w:val="auto"/>
          <w:sz w:val="24"/>
          <w:szCs w:val="24"/>
          <w:lang w:val="en-US" w:eastAsia="zh-CN"/>
        </w:rPr>
        <w:t>说明</w:t>
      </w:r>
      <w:r>
        <w:rPr>
          <w:rFonts w:hint="eastAsia" w:ascii="Helvetica" w:hAnsi="Helvetica" w:eastAsia="Helvetica" w:cs="Helvetica"/>
          <w:color w:val="auto"/>
          <w:sz w:val="24"/>
          <w:szCs w:val="24"/>
        </w:rPr>
        <w:t>解释权和修订权属于</w:t>
      </w:r>
      <w:r>
        <w:rPr>
          <w:rFonts w:hint="eastAsia" w:ascii="Helvetica" w:hAnsi="Helvetica" w:eastAsia="Helvetica" w:cs="Helvetica"/>
          <w:color w:val="auto"/>
          <w:sz w:val="24"/>
          <w:szCs w:val="24"/>
          <w:lang w:val="en-US" w:eastAsia="zh-CN"/>
        </w:rPr>
        <w:t>耘上数商</w:t>
      </w:r>
      <w:r>
        <w:rPr>
          <w:rFonts w:hint="eastAsia" w:ascii="Helvetica" w:hAnsi="Helvetica" w:eastAsia="Helvetica" w:cs="Helvetica"/>
          <w:color w:val="auto"/>
          <w:sz w:val="24"/>
          <w:szCs w:val="24"/>
        </w:rPr>
        <w:t>。</w:t>
      </w:r>
    </w:p>
    <w:p w14:paraId="279505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color w:val="auto"/>
        </w:rPr>
      </w:pPr>
      <w:r>
        <w:rPr>
          <w:rFonts w:hint="default" w:ascii="Helvetica" w:hAnsi="Helvetica" w:eastAsia="Helvetica" w:cs="Helvetica"/>
          <w:color w:val="auto"/>
          <w:sz w:val="24"/>
          <w:szCs w:val="24"/>
        </w:rPr>
        <w:t>202</w:t>
      </w:r>
      <w:r>
        <w:rPr>
          <w:rFonts w:hint="eastAsia" w:ascii="Helvetica" w:hAnsi="Helvetica" w:eastAsia="宋体" w:cs="Helvetica"/>
          <w:color w:val="auto"/>
          <w:sz w:val="24"/>
          <w:szCs w:val="24"/>
          <w:lang w:val="en-US" w:eastAsia="zh-CN"/>
        </w:rPr>
        <w:t>6</w:t>
      </w:r>
      <w:r>
        <w:rPr>
          <w:rFonts w:hint="default" w:ascii="Helvetica" w:hAnsi="Helvetica" w:eastAsia="Helvetica" w:cs="Helvetica"/>
          <w:color w:val="auto"/>
          <w:sz w:val="24"/>
          <w:szCs w:val="24"/>
        </w:rPr>
        <w:t>年</w:t>
      </w:r>
      <w:r>
        <w:rPr>
          <w:rFonts w:hint="eastAsia" w:ascii="Helvetica" w:hAnsi="Helvetica" w:eastAsia="宋体" w:cs="Helvetica"/>
          <w:color w:val="auto"/>
          <w:sz w:val="24"/>
          <w:szCs w:val="24"/>
          <w:lang w:val="en-US" w:eastAsia="zh-CN"/>
        </w:rPr>
        <w:t>4</w:t>
      </w:r>
      <w:r>
        <w:rPr>
          <w:rFonts w:hint="default" w:ascii="Helvetica" w:hAnsi="Helvetica" w:eastAsia="Helvetica" w:cs="Helvetica"/>
          <w:color w:val="auto"/>
          <w:sz w:val="24"/>
          <w:szCs w:val="24"/>
        </w:rPr>
        <w:t>月</w:t>
      </w:r>
      <w:r>
        <w:rPr>
          <w:rFonts w:hint="eastAsia" w:ascii="Helvetica" w:hAnsi="Helvetica" w:eastAsia="宋体" w:cs="Helvetica"/>
          <w:color w:val="auto"/>
          <w:sz w:val="24"/>
          <w:szCs w:val="24"/>
          <w:lang w:val="en-US" w:eastAsia="zh-CN"/>
        </w:rPr>
        <w:t>30</w:t>
      </w:r>
      <w:bookmarkStart w:id="0" w:name="_GoBack"/>
      <w:bookmarkEnd w:id="0"/>
      <w:r>
        <w:rPr>
          <w:rFonts w:hint="default" w:ascii="Helvetica" w:hAnsi="Helvetica" w:eastAsia="Helvetica" w:cs="Helvetica"/>
          <w:color w:val="auto"/>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8D7D3C"/>
    <w:rsid w:val="07FA5636"/>
    <w:rsid w:val="087370B9"/>
    <w:rsid w:val="08B0518A"/>
    <w:rsid w:val="091C14FF"/>
    <w:rsid w:val="0AFF2E86"/>
    <w:rsid w:val="0E603C3C"/>
    <w:rsid w:val="10451A9C"/>
    <w:rsid w:val="11030570"/>
    <w:rsid w:val="11112571"/>
    <w:rsid w:val="11CB38E3"/>
    <w:rsid w:val="12531521"/>
    <w:rsid w:val="127B2EAB"/>
    <w:rsid w:val="12985208"/>
    <w:rsid w:val="12A81FAE"/>
    <w:rsid w:val="13D44784"/>
    <w:rsid w:val="14535080"/>
    <w:rsid w:val="149B5AA6"/>
    <w:rsid w:val="15323E58"/>
    <w:rsid w:val="160B752A"/>
    <w:rsid w:val="165119C7"/>
    <w:rsid w:val="169A3C25"/>
    <w:rsid w:val="17E1018C"/>
    <w:rsid w:val="19651B7F"/>
    <w:rsid w:val="1C7A3A3B"/>
    <w:rsid w:val="1F673211"/>
    <w:rsid w:val="222E66CE"/>
    <w:rsid w:val="227D36CE"/>
    <w:rsid w:val="25B740E7"/>
    <w:rsid w:val="2663409A"/>
    <w:rsid w:val="283B6636"/>
    <w:rsid w:val="2A5204DC"/>
    <w:rsid w:val="2B0F1CB0"/>
    <w:rsid w:val="2B1B72C9"/>
    <w:rsid w:val="2C0A1682"/>
    <w:rsid w:val="2E2C36E3"/>
    <w:rsid w:val="2E5E0013"/>
    <w:rsid w:val="2F6D4FB7"/>
    <w:rsid w:val="300264A9"/>
    <w:rsid w:val="30A80D9B"/>
    <w:rsid w:val="316F7DFE"/>
    <w:rsid w:val="366E3BE0"/>
    <w:rsid w:val="3A3F02FA"/>
    <w:rsid w:val="3BDB6F87"/>
    <w:rsid w:val="3E5F1606"/>
    <w:rsid w:val="3FBD1EE9"/>
    <w:rsid w:val="4142704D"/>
    <w:rsid w:val="41445EFA"/>
    <w:rsid w:val="42A15FF5"/>
    <w:rsid w:val="43572B58"/>
    <w:rsid w:val="43BB30E7"/>
    <w:rsid w:val="440C56F0"/>
    <w:rsid w:val="47242DD9"/>
    <w:rsid w:val="47A10846"/>
    <w:rsid w:val="484A4A39"/>
    <w:rsid w:val="4878407A"/>
    <w:rsid w:val="491102ED"/>
    <w:rsid w:val="49A37891"/>
    <w:rsid w:val="4E123059"/>
    <w:rsid w:val="4E970F6C"/>
    <w:rsid w:val="4FF736F9"/>
    <w:rsid w:val="50235A38"/>
    <w:rsid w:val="5406215C"/>
    <w:rsid w:val="54EC0ADA"/>
    <w:rsid w:val="550965EC"/>
    <w:rsid w:val="55620BB0"/>
    <w:rsid w:val="598F49A2"/>
    <w:rsid w:val="5F68267E"/>
    <w:rsid w:val="5FEF1AA4"/>
    <w:rsid w:val="61E37639"/>
    <w:rsid w:val="66FA6F7F"/>
    <w:rsid w:val="69064C5E"/>
    <w:rsid w:val="69821E2D"/>
    <w:rsid w:val="6A8B2F63"/>
    <w:rsid w:val="6BFB5EC7"/>
    <w:rsid w:val="6CE34991"/>
    <w:rsid w:val="6E165412"/>
    <w:rsid w:val="707D334E"/>
    <w:rsid w:val="7235555B"/>
    <w:rsid w:val="77C96E79"/>
    <w:rsid w:val="79DE46D7"/>
    <w:rsid w:val="7AB219A2"/>
    <w:rsid w:val="7BE91105"/>
    <w:rsid w:val="7D7E6BE3"/>
    <w:rsid w:val="7E4055B0"/>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2389</Words>
  <Characters>2649</Characters>
  <Lines>0</Lines>
  <Paragraphs>0</Paragraphs>
  <TotalTime>113</TotalTime>
  <ScaleCrop>false</ScaleCrop>
  <LinksUpToDate>false</LinksUpToDate>
  <CharactersWithSpaces>2650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Y</cp:lastModifiedBy>
  <dcterms:modified xsi:type="dcterms:W3CDTF">2026-04-30T09:21:08Z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4B0ADBF469AC4953A841F09B1A1B4A87_13</vt:lpwstr>
  </property>
  <property fmtid="{D5CDD505-2E9C-101B-9397-08002B2CF9AE}" pid="4" name="KSOTemplateDocerSaveRecord">
    <vt:lpwstr>eyJoZGlkIjoiMWE3M2MwYmIxNDcwMzExOWM2NmM5YTlkYjcxYzE5NmIiLCJ1c2VySWQiOiIxOTg0OTAxOTIifQ==</vt:lpwstr>
  </property>
</Properties>
</file>